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233FB8">
      <w:pPr>
        <w:pStyle w:val="10"/>
        <w:keepNext w:val="0"/>
        <w:keepLines w:val="0"/>
        <w:pageBreakBefore w:val="0"/>
        <w:widowControl/>
        <w:kinsoku/>
        <w:wordWrap/>
        <w:overflowPunct/>
        <w:topLinePunct w:val="0"/>
        <w:autoSpaceDE/>
        <w:autoSpaceDN/>
        <w:bidi w:val="0"/>
        <w:adjustRightInd/>
        <w:snapToGrid/>
        <w:jc w:val="left"/>
        <w:textAlignment w:val="auto"/>
        <w:outlineLvl w:val="9"/>
        <w:rPr>
          <w:rFonts w:hint="eastAsia" w:ascii="仿宋" w:hAnsi="仿宋" w:eastAsia="仿宋" w:cs="仿宋"/>
          <w:kern w:val="2"/>
          <w:sz w:val="32"/>
          <w:szCs w:val="32"/>
          <w:lang w:val="en-US" w:eastAsia="zh-CN"/>
        </w:rPr>
      </w:pPr>
      <w:r>
        <w:rPr>
          <w:rFonts w:hint="eastAsia" w:ascii="仿宋" w:hAnsi="仿宋" w:eastAsia="仿宋" w:cs="仿宋"/>
          <w:kern w:val="2"/>
          <w:sz w:val="32"/>
          <w:szCs w:val="32"/>
          <w:lang w:val="en-US" w:eastAsia="zh-CN"/>
        </w:rPr>
        <w:t>附件一</w:t>
      </w:r>
    </w:p>
    <w:p w14:paraId="25B4FE91">
      <w:pPr>
        <w:pStyle w:val="10"/>
        <w:keepNext w:val="0"/>
        <w:keepLines w:val="0"/>
        <w:pageBreakBefore w:val="0"/>
        <w:widowControl/>
        <w:kinsoku/>
        <w:wordWrap/>
        <w:overflowPunct/>
        <w:topLinePunct w:val="0"/>
        <w:autoSpaceDE/>
        <w:autoSpaceDN/>
        <w:bidi w:val="0"/>
        <w:adjustRightInd/>
        <w:snapToGrid/>
        <w:spacing w:before="1000" w:after="240"/>
        <w:jc w:val="center"/>
        <w:textAlignment w:val="auto"/>
        <w:outlineLvl w:val="9"/>
      </w:pPr>
      <w:r>
        <w:rPr>
          <w:rFonts w:hint="eastAsia" w:ascii="方正小标宋_GBK" w:eastAsia="方正小标宋_GBK"/>
          <w:kern w:val="2"/>
          <w:sz w:val="72"/>
          <w:szCs w:val="72"/>
        </w:rPr>
        <w:drawing>
          <wp:inline distT="0" distB="0" distL="114300" distR="114300">
            <wp:extent cx="3169920" cy="612775"/>
            <wp:effectExtent l="0" t="0" r="11430" b="15875"/>
            <wp:docPr id="6" name="图片 6" descr="会徽与中英文全称标准字横排横向组合规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会徽与中英文全称标准字横排横向组合规范"/>
                    <pic:cNvPicPr>
                      <a:picLocks noChangeAspect="1"/>
                    </pic:cNvPicPr>
                  </pic:nvPicPr>
                  <pic:blipFill>
                    <a:blip r:embed="rId7"/>
                    <a:stretch>
                      <a:fillRect/>
                    </a:stretch>
                  </pic:blipFill>
                  <pic:spPr>
                    <a:xfrm>
                      <a:off x="0" y="0"/>
                      <a:ext cx="3169920" cy="612775"/>
                    </a:xfrm>
                    <a:prstGeom prst="rect">
                      <a:avLst/>
                    </a:prstGeom>
                  </pic:spPr>
                </pic:pic>
              </a:graphicData>
            </a:graphic>
          </wp:inline>
        </w:drawing>
      </w:r>
    </w:p>
    <w:p w14:paraId="1F257915">
      <w:pPr>
        <w:pStyle w:val="10"/>
        <w:keepNext w:val="0"/>
        <w:keepLines w:val="0"/>
        <w:pageBreakBefore w:val="0"/>
        <w:widowControl/>
        <w:kinsoku/>
        <w:wordWrap/>
        <w:overflowPunct/>
        <w:topLinePunct w:val="0"/>
        <w:autoSpaceDE/>
        <w:autoSpaceDN/>
        <w:bidi w:val="0"/>
        <w:adjustRightInd/>
        <w:snapToGrid/>
        <w:spacing w:before="240" w:after="240"/>
        <w:jc w:val="center"/>
        <w:textAlignment w:val="auto"/>
        <w:outlineLvl w:val="9"/>
        <w:rPr>
          <w:rFonts w:hint="eastAsia" w:ascii="方正小标宋简体" w:eastAsia="方正小标宋简体"/>
          <w:kern w:val="2"/>
          <w:sz w:val="72"/>
          <w:szCs w:val="72"/>
        </w:rPr>
      </w:pPr>
    </w:p>
    <w:p w14:paraId="7BC6F35E">
      <w:pPr>
        <w:pStyle w:val="10"/>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方正小标宋简体" w:eastAsia="方正小标宋简体"/>
          <w:kern w:val="2"/>
          <w:sz w:val="72"/>
          <w:szCs w:val="72"/>
        </w:rPr>
      </w:pPr>
    </w:p>
    <w:p w14:paraId="1523DF5B">
      <w:pPr>
        <w:pStyle w:val="10"/>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方正小标宋简体" w:eastAsia="方正小标宋简体"/>
          <w:kern w:val="2"/>
          <w:sz w:val="72"/>
          <w:szCs w:val="72"/>
        </w:rPr>
      </w:pPr>
      <w:r>
        <w:rPr>
          <w:rFonts w:hint="eastAsia" w:ascii="方正小标宋简体" w:eastAsia="方正小标宋简体"/>
          <w:kern w:val="2"/>
          <w:sz w:val="72"/>
          <w:szCs w:val="72"/>
        </w:rPr>
        <w:t>202</w:t>
      </w:r>
      <w:r>
        <w:rPr>
          <w:rFonts w:hint="eastAsia" w:ascii="方正小标宋简体" w:eastAsia="方正小标宋简体"/>
          <w:kern w:val="2"/>
          <w:sz w:val="72"/>
          <w:szCs w:val="72"/>
          <w:lang w:val="en-US" w:eastAsia="zh-CN"/>
        </w:rPr>
        <w:t>5</w:t>
      </w:r>
      <w:r>
        <w:rPr>
          <w:rFonts w:hint="eastAsia" w:ascii="方正小标宋简体" w:eastAsia="方正小标宋简体"/>
          <w:kern w:val="2"/>
          <w:sz w:val="72"/>
          <w:szCs w:val="72"/>
        </w:rPr>
        <w:t>上市公司董事会</w:t>
      </w:r>
    </w:p>
    <w:p w14:paraId="252987EF">
      <w:pPr>
        <w:pStyle w:val="10"/>
        <w:keepNext w:val="0"/>
        <w:keepLines w:val="0"/>
        <w:pageBreakBefore w:val="0"/>
        <w:widowControl/>
        <w:kinsoku/>
        <w:wordWrap/>
        <w:overflowPunct/>
        <w:topLinePunct w:val="0"/>
        <w:autoSpaceDE/>
        <w:autoSpaceDN/>
        <w:bidi w:val="0"/>
        <w:adjustRightInd/>
        <w:snapToGrid/>
        <w:spacing w:after="240"/>
        <w:jc w:val="center"/>
        <w:textAlignment w:val="auto"/>
        <w:outlineLvl w:val="9"/>
        <w:rPr>
          <w:rFonts w:hint="eastAsia" w:ascii="方正小标宋简体" w:eastAsia="方正小标宋简体"/>
          <w:kern w:val="2"/>
          <w:sz w:val="72"/>
          <w:szCs w:val="72"/>
        </w:rPr>
      </w:pPr>
      <w:r>
        <w:rPr>
          <w:rFonts w:hint="eastAsia" w:ascii="方正小标宋简体" w:eastAsia="方正小标宋简体"/>
          <w:kern w:val="2"/>
          <w:sz w:val="72"/>
          <w:szCs w:val="72"/>
        </w:rPr>
        <w:t>最佳实践</w:t>
      </w:r>
      <w:r>
        <w:rPr>
          <w:rFonts w:hint="eastAsia" w:ascii="方正小标宋简体" w:eastAsia="方正小标宋简体"/>
          <w:kern w:val="2"/>
          <w:sz w:val="72"/>
          <w:szCs w:val="72"/>
          <w:lang w:val="en-US" w:eastAsia="zh-CN"/>
        </w:rPr>
        <w:t>案例征集</w:t>
      </w:r>
      <w:r>
        <w:rPr>
          <w:rFonts w:hint="eastAsia" w:ascii="方正小标宋简体" w:eastAsia="方正小标宋简体"/>
          <w:kern w:val="2"/>
          <w:sz w:val="72"/>
          <w:szCs w:val="72"/>
        </w:rPr>
        <w:t>活动</w:t>
      </w:r>
      <w:bookmarkStart w:id="0" w:name="_Toc30841"/>
    </w:p>
    <w:p w14:paraId="1D1AC69B">
      <w:pPr>
        <w:pStyle w:val="10"/>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方正小标宋简体" w:eastAsia="方正小标宋简体"/>
          <w:kern w:val="2"/>
          <w:sz w:val="32"/>
          <w:szCs w:val="32"/>
        </w:rPr>
      </w:pPr>
    </w:p>
    <w:p w14:paraId="4CEC8772">
      <w:pPr>
        <w:pStyle w:val="10"/>
        <w:keepNext w:val="0"/>
        <w:keepLines w:val="0"/>
        <w:pageBreakBefore w:val="0"/>
        <w:widowControl/>
        <w:kinsoku/>
        <w:wordWrap/>
        <w:overflowPunct/>
        <w:topLinePunct w:val="0"/>
        <w:autoSpaceDE/>
        <w:autoSpaceDN/>
        <w:bidi w:val="0"/>
        <w:adjustRightInd/>
        <w:snapToGrid/>
        <w:spacing w:after="240"/>
        <w:jc w:val="center"/>
        <w:textAlignment w:val="auto"/>
        <w:outlineLvl w:val="9"/>
        <w:rPr>
          <w:rFonts w:hint="eastAsia" w:ascii="方正小标宋简体" w:eastAsia="方正小标宋简体"/>
          <w:kern w:val="2"/>
          <w:sz w:val="60"/>
          <w:szCs w:val="60"/>
        </w:rPr>
      </w:pPr>
      <w:r>
        <w:rPr>
          <w:rFonts w:hint="eastAsia" w:ascii="方正小标宋简体" w:eastAsia="方正小标宋简体"/>
          <w:kern w:val="2"/>
          <w:sz w:val="60"/>
          <w:szCs w:val="60"/>
        </w:rPr>
        <w:t>申报系统使用手册</w:t>
      </w:r>
      <w:bookmarkEnd w:id="0"/>
    </w:p>
    <w:p w14:paraId="4A7AABB8">
      <w:pPr>
        <w:pStyle w:val="2"/>
        <w:numPr>
          <w:ilvl w:val="0"/>
          <w:numId w:val="0"/>
        </w:numPr>
        <w:rPr>
          <w:rFonts w:hint="eastAsia"/>
        </w:rPr>
      </w:pPr>
    </w:p>
    <w:p w14:paraId="68A97F3A">
      <w:pPr>
        <w:rPr>
          <w:rFonts w:hint="eastAsia"/>
        </w:rPr>
      </w:pPr>
    </w:p>
    <w:p w14:paraId="65A7F9A8">
      <w:pPr>
        <w:rPr>
          <w:rFonts w:hint="eastAsia"/>
        </w:rPr>
      </w:pPr>
    </w:p>
    <w:p w14:paraId="1EEBDB65">
      <w:pPr>
        <w:pStyle w:val="2"/>
        <w:numPr>
          <w:ilvl w:val="0"/>
          <w:numId w:val="0"/>
        </w:numPr>
        <w:rPr>
          <w:rFonts w:hint="eastAsia"/>
        </w:rPr>
      </w:pPr>
    </w:p>
    <w:p w14:paraId="1C5B1B09">
      <w:pPr>
        <w:pStyle w:val="2"/>
        <w:numPr>
          <w:ilvl w:val="2"/>
          <w:numId w:val="0"/>
        </w:numPr>
        <w:jc w:val="center"/>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中国上市公司协会</w:t>
      </w:r>
    </w:p>
    <w:p w14:paraId="05C70579">
      <w:pPr>
        <w:pStyle w:val="2"/>
        <w:numPr>
          <w:ilvl w:val="0"/>
          <w:numId w:val="0"/>
        </w:numPr>
        <w:jc w:val="center"/>
        <w:rPr>
          <w:rFonts w:hint="eastAsia" w:ascii="方正小标宋简体" w:hAnsi="方正小标宋简体" w:eastAsia="方正小标宋简体" w:cs="方正小标宋简体"/>
          <w:b w:val="0"/>
          <w:bCs/>
          <w:lang w:val="en-US" w:eastAsia="zh-CN"/>
        </w:rPr>
        <w:sectPr>
          <w:pgSz w:w="11906" w:h="16838"/>
          <w:pgMar w:top="1440" w:right="1800" w:bottom="1440" w:left="1800" w:header="851" w:footer="992" w:gutter="0"/>
          <w:pgNumType w:fmt="numberInDash"/>
          <w:cols w:space="425" w:num="1"/>
          <w:docGrid w:type="lines" w:linePitch="312" w:charSpace="0"/>
        </w:sectPr>
      </w:pPr>
      <w:r>
        <w:rPr>
          <w:rFonts w:hint="eastAsia" w:ascii="方正小标宋简体" w:hAnsi="方正小标宋简体" w:eastAsia="方正小标宋简体" w:cs="方正小标宋简体"/>
          <w:b w:val="0"/>
          <w:bCs/>
          <w:sz w:val="36"/>
          <w:szCs w:val="36"/>
          <w:lang w:val="en-US" w:eastAsia="zh-CN"/>
        </w:rPr>
        <w:t>2025年7月</w:t>
      </w:r>
    </w:p>
    <w:p w14:paraId="43B39380">
      <w:pPr>
        <w:pStyle w:val="6"/>
        <w:tabs>
          <w:tab w:val="right" w:leader="dot" w:pos="8306"/>
        </w:tabs>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目录</w:t>
      </w:r>
    </w:p>
    <w:p w14:paraId="33B055E5">
      <w:pPr>
        <w:pStyle w:val="6"/>
        <w:tabs>
          <w:tab w:val="right" w:leader="dot" w:pos="8306"/>
        </w:tabs>
        <w:rPr>
          <w:rFonts w:hint="eastAsia" w:ascii="黑体" w:hAnsi="黑体" w:eastAsia="黑体" w:cs="黑体"/>
          <w:sz w:val="32"/>
          <w:szCs w:val="32"/>
        </w:rPr>
      </w:pPr>
      <w:r>
        <w:rPr>
          <w:rFonts w:hint="eastAsia" w:ascii="黑体" w:hAnsi="黑体" w:eastAsia="黑体" w:cs="黑体"/>
          <w:sz w:val="32"/>
          <w:szCs w:val="32"/>
          <w:lang w:val="en-US" w:eastAsia="zh-CN"/>
        </w:rPr>
        <w:fldChar w:fldCharType="begin"/>
      </w:r>
      <w:r>
        <w:rPr>
          <w:rFonts w:hint="eastAsia" w:ascii="黑体" w:hAnsi="黑体" w:eastAsia="黑体" w:cs="黑体"/>
          <w:sz w:val="32"/>
          <w:szCs w:val="32"/>
          <w:lang w:val="en-US" w:eastAsia="zh-CN"/>
        </w:rPr>
        <w:instrText xml:space="preserve">TOC \o "1-2" \h \u </w:instrText>
      </w:r>
      <w:r>
        <w:rPr>
          <w:rFonts w:hint="eastAsia" w:ascii="黑体" w:hAnsi="黑体" w:eastAsia="黑体" w:cs="黑体"/>
          <w:sz w:val="32"/>
          <w:szCs w:val="32"/>
          <w:lang w:val="en-US" w:eastAsia="zh-CN"/>
        </w:rPr>
        <w:fldChar w:fldCharType="separate"/>
      </w:r>
      <w:r>
        <w:rPr>
          <w:rFonts w:hint="eastAsia" w:ascii="黑体" w:hAnsi="黑体" w:eastAsia="黑体" w:cs="黑体"/>
          <w:sz w:val="32"/>
          <w:szCs w:val="32"/>
          <w:lang w:val="en-US" w:eastAsia="zh-CN"/>
        </w:rPr>
        <w:fldChar w:fldCharType="begin"/>
      </w:r>
      <w:r>
        <w:rPr>
          <w:rFonts w:hint="eastAsia" w:ascii="黑体" w:hAnsi="黑体" w:eastAsia="黑体" w:cs="黑体"/>
          <w:sz w:val="32"/>
          <w:szCs w:val="32"/>
          <w:lang w:val="en-US" w:eastAsia="zh-CN"/>
        </w:rPr>
        <w:instrText xml:space="preserve"> HYPERLINK \l _Toc14513 </w:instrText>
      </w:r>
      <w:r>
        <w:rPr>
          <w:rFonts w:hint="eastAsia" w:ascii="黑体" w:hAnsi="黑体" w:eastAsia="黑体" w:cs="黑体"/>
          <w:sz w:val="32"/>
          <w:szCs w:val="32"/>
          <w:lang w:val="en-US" w:eastAsia="zh-CN"/>
        </w:rPr>
        <w:fldChar w:fldCharType="separate"/>
      </w:r>
      <w:r>
        <w:rPr>
          <w:rFonts w:hint="eastAsia" w:ascii="黑体" w:hAnsi="黑体" w:eastAsia="黑体" w:cs="黑体"/>
          <w:sz w:val="32"/>
          <w:szCs w:val="32"/>
          <w:highlight w:val="none"/>
          <w:lang w:val="en-US" w:eastAsia="zh-CN"/>
        </w:rPr>
        <w:t>一、用户登录</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_Toc14513 \h </w:instrText>
      </w:r>
      <w:r>
        <w:rPr>
          <w:rFonts w:hint="eastAsia" w:ascii="黑体" w:hAnsi="黑体" w:eastAsia="黑体" w:cs="黑体"/>
          <w:sz w:val="32"/>
          <w:szCs w:val="32"/>
        </w:rPr>
        <w:fldChar w:fldCharType="separate"/>
      </w:r>
      <w:r>
        <w:rPr>
          <w:rFonts w:hint="eastAsia" w:ascii="黑体" w:hAnsi="黑体" w:eastAsia="黑体" w:cs="黑体"/>
          <w:sz w:val="32"/>
          <w:szCs w:val="32"/>
        </w:rPr>
        <w:t>- 1 -</w:t>
      </w:r>
      <w:r>
        <w:rPr>
          <w:rFonts w:hint="eastAsia" w:ascii="黑体" w:hAnsi="黑体" w:eastAsia="黑体" w:cs="黑体"/>
          <w:sz w:val="32"/>
          <w:szCs w:val="32"/>
        </w:rPr>
        <w:fldChar w:fldCharType="end"/>
      </w:r>
      <w:r>
        <w:rPr>
          <w:rFonts w:hint="eastAsia" w:ascii="黑体" w:hAnsi="黑体" w:eastAsia="黑体" w:cs="黑体"/>
          <w:sz w:val="32"/>
          <w:szCs w:val="32"/>
          <w:lang w:val="en-US" w:eastAsia="zh-CN"/>
        </w:rPr>
        <w:fldChar w:fldCharType="end"/>
      </w:r>
    </w:p>
    <w:p w14:paraId="4B180520">
      <w:pPr>
        <w:pStyle w:val="7"/>
        <w:tabs>
          <w:tab w:val="right" w:leader="dot" w:pos="8306"/>
        </w:tabs>
        <w:rPr>
          <w:rFonts w:hint="eastAsia" w:ascii="楷体" w:hAnsi="楷体" w:eastAsia="楷体" w:cs="楷体"/>
          <w:sz w:val="32"/>
          <w:szCs w:val="32"/>
        </w:rPr>
      </w:pPr>
      <w:r>
        <w:rPr>
          <w:rFonts w:hint="eastAsia" w:ascii="楷体" w:hAnsi="楷体" w:eastAsia="楷体" w:cs="楷体"/>
          <w:sz w:val="32"/>
          <w:szCs w:val="32"/>
          <w:lang w:val="en-US" w:eastAsia="zh-CN"/>
        </w:rPr>
        <w:fldChar w:fldCharType="begin"/>
      </w:r>
      <w:r>
        <w:rPr>
          <w:rFonts w:hint="eastAsia" w:ascii="楷体" w:hAnsi="楷体" w:eastAsia="楷体" w:cs="楷体"/>
          <w:sz w:val="32"/>
          <w:szCs w:val="32"/>
          <w:lang w:val="en-US" w:eastAsia="zh-CN"/>
        </w:rPr>
        <w:instrText xml:space="preserve"> HYPERLINK \l _Toc14325 </w:instrText>
      </w:r>
      <w:r>
        <w:rPr>
          <w:rFonts w:hint="eastAsia" w:ascii="楷体" w:hAnsi="楷体" w:eastAsia="楷体" w:cs="楷体"/>
          <w:sz w:val="32"/>
          <w:szCs w:val="32"/>
          <w:lang w:val="en-US" w:eastAsia="zh-CN"/>
        </w:rPr>
        <w:fldChar w:fldCharType="separate"/>
      </w:r>
      <w:r>
        <w:rPr>
          <w:rFonts w:hint="eastAsia" w:ascii="楷体" w:hAnsi="楷体" w:eastAsia="楷体" w:cs="楷体"/>
          <w:sz w:val="32"/>
          <w:szCs w:val="32"/>
          <w:lang w:val="en-US" w:eastAsia="zh-CN"/>
        </w:rPr>
        <w:t>1.申报网址</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_Toc14325 \h </w:instrText>
      </w:r>
      <w:r>
        <w:rPr>
          <w:rFonts w:hint="eastAsia" w:ascii="楷体" w:hAnsi="楷体" w:eastAsia="楷体" w:cs="楷体"/>
          <w:sz w:val="32"/>
          <w:szCs w:val="32"/>
        </w:rPr>
        <w:fldChar w:fldCharType="separate"/>
      </w:r>
      <w:r>
        <w:rPr>
          <w:rFonts w:hint="eastAsia" w:ascii="楷体" w:hAnsi="楷体" w:eastAsia="楷体" w:cs="楷体"/>
          <w:sz w:val="32"/>
          <w:szCs w:val="32"/>
        </w:rPr>
        <w:t>- 1 -</w:t>
      </w:r>
      <w:r>
        <w:rPr>
          <w:rFonts w:hint="eastAsia" w:ascii="楷体" w:hAnsi="楷体" w:eastAsia="楷体" w:cs="楷体"/>
          <w:sz w:val="32"/>
          <w:szCs w:val="32"/>
        </w:rPr>
        <w:fldChar w:fldCharType="end"/>
      </w:r>
      <w:r>
        <w:rPr>
          <w:rFonts w:hint="eastAsia" w:ascii="楷体" w:hAnsi="楷体" w:eastAsia="楷体" w:cs="楷体"/>
          <w:sz w:val="32"/>
          <w:szCs w:val="32"/>
          <w:lang w:val="en-US" w:eastAsia="zh-CN"/>
        </w:rPr>
        <w:fldChar w:fldCharType="end"/>
      </w:r>
    </w:p>
    <w:p w14:paraId="36F0D699">
      <w:pPr>
        <w:pStyle w:val="7"/>
        <w:tabs>
          <w:tab w:val="right" w:leader="dot" w:pos="8306"/>
        </w:tabs>
        <w:rPr>
          <w:rFonts w:hint="eastAsia" w:ascii="楷体" w:hAnsi="楷体" w:eastAsia="楷体" w:cs="楷体"/>
          <w:sz w:val="32"/>
          <w:szCs w:val="32"/>
        </w:rPr>
      </w:pPr>
      <w:r>
        <w:rPr>
          <w:rFonts w:hint="eastAsia" w:ascii="楷体" w:hAnsi="楷体" w:eastAsia="楷体" w:cs="楷体"/>
          <w:sz w:val="32"/>
          <w:szCs w:val="32"/>
          <w:lang w:val="en-US" w:eastAsia="zh-CN"/>
        </w:rPr>
        <w:fldChar w:fldCharType="begin"/>
      </w:r>
      <w:r>
        <w:rPr>
          <w:rFonts w:hint="eastAsia" w:ascii="楷体" w:hAnsi="楷体" w:eastAsia="楷体" w:cs="楷体"/>
          <w:sz w:val="32"/>
          <w:szCs w:val="32"/>
          <w:lang w:val="en-US" w:eastAsia="zh-CN"/>
        </w:rPr>
        <w:instrText xml:space="preserve"> HYPERLINK \l _Toc17461 </w:instrText>
      </w:r>
      <w:r>
        <w:rPr>
          <w:rFonts w:hint="eastAsia" w:ascii="楷体" w:hAnsi="楷体" w:eastAsia="楷体" w:cs="楷体"/>
          <w:sz w:val="32"/>
          <w:szCs w:val="32"/>
          <w:lang w:val="en-US" w:eastAsia="zh-CN"/>
        </w:rPr>
        <w:fldChar w:fldCharType="separate"/>
      </w:r>
      <w:r>
        <w:rPr>
          <w:rFonts w:hint="eastAsia" w:ascii="楷体" w:hAnsi="楷体" w:eastAsia="楷体" w:cs="楷体"/>
          <w:sz w:val="32"/>
          <w:szCs w:val="32"/>
          <w:lang w:val="en-US" w:eastAsia="zh-CN"/>
        </w:rPr>
        <w:t>2.用户登录</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_Toc17461 \h </w:instrText>
      </w:r>
      <w:r>
        <w:rPr>
          <w:rFonts w:hint="eastAsia" w:ascii="楷体" w:hAnsi="楷体" w:eastAsia="楷体" w:cs="楷体"/>
          <w:sz w:val="32"/>
          <w:szCs w:val="32"/>
        </w:rPr>
        <w:fldChar w:fldCharType="separate"/>
      </w:r>
      <w:r>
        <w:rPr>
          <w:rFonts w:hint="eastAsia" w:ascii="楷体" w:hAnsi="楷体" w:eastAsia="楷体" w:cs="楷体"/>
          <w:sz w:val="32"/>
          <w:szCs w:val="32"/>
        </w:rPr>
        <w:t>- 1 -</w:t>
      </w:r>
      <w:r>
        <w:rPr>
          <w:rFonts w:hint="eastAsia" w:ascii="楷体" w:hAnsi="楷体" w:eastAsia="楷体" w:cs="楷体"/>
          <w:sz w:val="32"/>
          <w:szCs w:val="32"/>
        </w:rPr>
        <w:fldChar w:fldCharType="end"/>
      </w:r>
      <w:r>
        <w:rPr>
          <w:rFonts w:hint="eastAsia" w:ascii="楷体" w:hAnsi="楷体" w:eastAsia="楷体" w:cs="楷体"/>
          <w:sz w:val="32"/>
          <w:szCs w:val="32"/>
          <w:lang w:val="en-US" w:eastAsia="zh-CN"/>
        </w:rPr>
        <w:fldChar w:fldCharType="end"/>
      </w:r>
    </w:p>
    <w:p w14:paraId="6D9B9005">
      <w:pPr>
        <w:pStyle w:val="7"/>
        <w:tabs>
          <w:tab w:val="right" w:leader="dot" w:pos="8306"/>
        </w:tabs>
        <w:rPr>
          <w:rFonts w:hint="eastAsia" w:ascii="楷体" w:hAnsi="楷体" w:eastAsia="楷体" w:cs="楷体"/>
          <w:sz w:val="32"/>
          <w:szCs w:val="32"/>
        </w:rPr>
      </w:pPr>
      <w:r>
        <w:rPr>
          <w:rFonts w:hint="eastAsia" w:ascii="楷体" w:hAnsi="楷体" w:eastAsia="楷体" w:cs="楷体"/>
          <w:sz w:val="32"/>
          <w:szCs w:val="32"/>
          <w:lang w:val="en-US" w:eastAsia="zh-CN"/>
        </w:rPr>
        <w:fldChar w:fldCharType="begin"/>
      </w:r>
      <w:r>
        <w:rPr>
          <w:rFonts w:hint="eastAsia" w:ascii="楷体" w:hAnsi="楷体" w:eastAsia="楷体" w:cs="楷体"/>
          <w:sz w:val="32"/>
          <w:szCs w:val="32"/>
          <w:lang w:val="en-US" w:eastAsia="zh-CN"/>
        </w:rPr>
        <w:instrText xml:space="preserve"> HYPERLINK \l _Toc7937 </w:instrText>
      </w:r>
      <w:r>
        <w:rPr>
          <w:rFonts w:hint="eastAsia" w:ascii="楷体" w:hAnsi="楷体" w:eastAsia="楷体" w:cs="楷体"/>
          <w:sz w:val="32"/>
          <w:szCs w:val="32"/>
          <w:lang w:val="en-US" w:eastAsia="zh-CN"/>
        </w:rPr>
        <w:fldChar w:fldCharType="separate"/>
      </w:r>
      <w:r>
        <w:rPr>
          <w:rFonts w:hint="eastAsia" w:ascii="楷体" w:hAnsi="楷体" w:eastAsia="楷体" w:cs="楷体"/>
          <w:sz w:val="32"/>
          <w:szCs w:val="32"/>
          <w:lang w:val="en-US" w:eastAsia="zh-CN"/>
        </w:rPr>
        <w:t>3.修改个人信息</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_Toc7937 \h </w:instrText>
      </w:r>
      <w:r>
        <w:rPr>
          <w:rFonts w:hint="eastAsia" w:ascii="楷体" w:hAnsi="楷体" w:eastAsia="楷体" w:cs="楷体"/>
          <w:sz w:val="32"/>
          <w:szCs w:val="32"/>
        </w:rPr>
        <w:fldChar w:fldCharType="separate"/>
      </w:r>
      <w:r>
        <w:rPr>
          <w:rFonts w:hint="eastAsia" w:ascii="楷体" w:hAnsi="楷体" w:eastAsia="楷体" w:cs="楷体"/>
          <w:sz w:val="32"/>
          <w:szCs w:val="32"/>
        </w:rPr>
        <w:t>- 2 -</w:t>
      </w:r>
      <w:r>
        <w:rPr>
          <w:rFonts w:hint="eastAsia" w:ascii="楷体" w:hAnsi="楷体" w:eastAsia="楷体" w:cs="楷体"/>
          <w:sz w:val="32"/>
          <w:szCs w:val="32"/>
        </w:rPr>
        <w:fldChar w:fldCharType="end"/>
      </w:r>
      <w:r>
        <w:rPr>
          <w:rFonts w:hint="eastAsia" w:ascii="楷体" w:hAnsi="楷体" w:eastAsia="楷体" w:cs="楷体"/>
          <w:sz w:val="32"/>
          <w:szCs w:val="32"/>
          <w:lang w:val="en-US" w:eastAsia="zh-CN"/>
        </w:rPr>
        <w:fldChar w:fldCharType="end"/>
      </w:r>
    </w:p>
    <w:p w14:paraId="4A95DA1D">
      <w:pPr>
        <w:pStyle w:val="7"/>
        <w:tabs>
          <w:tab w:val="right" w:leader="dot" w:pos="8306"/>
        </w:tabs>
        <w:rPr>
          <w:rFonts w:hint="eastAsia" w:ascii="楷体" w:hAnsi="楷体" w:eastAsia="楷体" w:cs="楷体"/>
          <w:sz w:val="32"/>
          <w:szCs w:val="32"/>
        </w:rPr>
      </w:pPr>
      <w:r>
        <w:rPr>
          <w:rFonts w:hint="eastAsia" w:ascii="楷体" w:hAnsi="楷体" w:eastAsia="楷体" w:cs="楷体"/>
          <w:sz w:val="32"/>
          <w:szCs w:val="32"/>
          <w:lang w:val="en-US" w:eastAsia="zh-CN"/>
        </w:rPr>
        <w:fldChar w:fldCharType="begin"/>
      </w:r>
      <w:r>
        <w:rPr>
          <w:rFonts w:hint="eastAsia" w:ascii="楷体" w:hAnsi="楷体" w:eastAsia="楷体" w:cs="楷体"/>
          <w:sz w:val="32"/>
          <w:szCs w:val="32"/>
          <w:lang w:val="en-US" w:eastAsia="zh-CN"/>
        </w:rPr>
        <w:instrText xml:space="preserve"> HYPERLINK \l _Toc30437 </w:instrText>
      </w:r>
      <w:r>
        <w:rPr>
          <w:rFonts w:hint="eastAsia" w:ascii="楷体" w:hAnsi="楷体" w:eastAsia="楷体" w:cs="楷体"/>
          <w:sz w:val="32"/>
          <w:szCs w:val="32"/>
          <w:lang w:val="en-US" w:eastAsia="zh-CN"/>
        </w:rPr>
        <w:fldChar w:fldCharType="separate"/>
      </w:r>
      <w:r>
        <w:rPr>
          <w:rFonts w:hint="eastAsia" w:ascii="楷体" w:hAnsi="楷体" w:eastAsia="楷体" w:cs="楷体"/>
          <w:sz w:val="32"/>
          <w:szCs w:val="32"/>
          <w:lang w:val="en-US" w:eastAsia="zh-CN"/>
        </w:rPr>
        <w:t>4.问题解答</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_Toc30437 \h </w:instrText>
      </w:r>
      <w:r>
        <w:rPr>
          <w:rFonts w:hint="eastAsia" w:ascii="楷体" w:hAnsi="楷体" w:eastAsia="楷体" w:cs="楷体"/>
          <w:sz w:val="32"/>
          <w:szCs w:val="32"/>
        </w:rPr>
        <w:fldChar w:fldCharType="separate"/>
      </w:r>
      <w:r>
        <w:rPr>
          <w:rFonts w:hint="eastAsia" w:ascii="楷体" w:hAnsi="楷体" w:eastAsia="楷体" w:cs="楷体"/>
          <w:sz w:val="32"/>
          <w:szCs w:val="32"/>
        </w:rPr>
        <w:t>- 2 -</w:t>
      </w:r>
      <w:r>
        <w:rPr>
          <w:rFonts w:hint="eastAsia" w:ascii="楷体" w:hAnsi="楷体" w:eastAsia="楷体" w:cs="楷体"/>
          <w:sz w:val="32"/>
          <w:szCs w:val="32"/>
        </w:rPr>
        <w:fldChar w:fldCharType="end"/>
      </w:r>
      <w:r>
        <w:rPr>
          <w:rFonts w:hint="eastAsia" w:ascii="楷体" w:hAnsi="楷体" w:eastAsia="楷体" w:cs="楷体"/>
          <w:sz w:val="32"/>
          <w:szCs w:val="32"/>
          <w:lang w:val="en-US" w:eastAsia="zh-CN"/>
        </w:rPr>
        <w:fldChar w:fldCharType="end"/>
      </w:r>
    </w:p>
    <w:p w14:paraId="23F9B6F5">
      <w:pPr>
        <w:pStyle w:val="6"/>
        <w:tabs>
          <w:tab w:val="right" w:leader="dot" w:pos="8306"/>
        </w:tabs>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fldChar w:fldCharType="begin"/>
      </w:r>
      <w:r>
        <w:rPr>
          <w:rFonts w:hint="eastAsia" w:ascii="黑体" w:hAnsi="黑体" w:eastAsia="黑体" w:cs="黑体"/>
          <w:sz w:val="32"/>
          <w:szCs w:val="32"/>
          <w:lang w:val="en-US" w:eastAsia="zh-CN"/>
        </w:rPr>
        <w:instrText xml:space="preserve"> HYPERLINK \l _Toc16783 </w:instrText>
      </w:r>
      <w:r>
        <w:rPr>
          <w:rFonts w:hint="eastAsia" w:ascii="黑体" w:hAnsi="黑体" w:eastAsia="黑体" w:cs="黑体"/>
          <w:sz w:val="32"/>
          <w:szCs w:val="32"/>
          <w:lang w:val="en-US" w:eastAsia="zh-CN"/>
        </w:rPr>
        <w:fldChar w:fldCharType="separate"/>
      </w:r>
      <w:r>
        <w:rPr>
          <w:rFonts w:hint="eastAsia" w:ascii="黑体" w:hAnsi="黑体" w:eastAsia="黑体" w:cs="黑体"/>
          <w:sz w:val="32"/>
          <w:szCs w:val="32"/>
          <w:lang w:val="en-US" w:eastAsia="zh-CN"/>
        </w:rPr>
        <w:t>二、用户认证</w:t>
      </w:r>
      <w:r>
        <w:rPr>
          <w:rFonts w:hint="eastAsia" w:ascii="黑体" w:hAnsi="黑体" w:eastAsia="黑体" w:cs="黑体"/>
          <w:sz w:val="32"/>
          <w:szCs w:val="32"/>
          <w:lang w:val="en-US" w:eastAsia="zh-CN"/>
        </w:rPr>
        <w:tab/>
      </w:r>
      <w:r>
        <w:rPr>
          <w:rFonts w:hint="eastAsia" w:ascii="黑体" w:hAnsi="黑体" w:eastAsia="黑体" w:cs="黑体"/>
          <w:sz w:val="32"/>
          <w:szCs w:val="32"/>
          <w:lang w:val="en-US" w:eastAsia="zh-CN"/>
        </w:rPr>
        <w:fldChar w:fldCharType="begin"/>
      </w:r>
      <w:r>
        <w:rPr>
          <w:rFonts w:hint="eastAsia" w:ascii="黑体" w:hAnsi="黑体" w:eastAsia="黑体" w:cs="黑体"/>
          <w:sz w:val="32"/>
          <w:szCs w:val="32"/>
          <w:lang w:val="en-US" w:eastAsia="zh-CN"/>
        </w:rPr>
        <w:instrText xml:space="preserve"> PAGEREF _Toc16783 \h </w:instrText>
      </w:r>
      <w:r>
        <w:rPr>
          <w:rFonts w:hint="eastAsia" w:ascii="黑体" w:hAnsi="黑体" w:eastAsia="黑体" w:cs="黑体"/>
          <w:sz w:val="32"/>
          <w:szCs w:val="32"/>
          <w:lang w:val="en-US" w:eastAsia="zh-CN"/>
        </w:rPr>
        <w:fldChar w:fldCharType="separate"/>
      </w:r>
      <w:r>
        <w:rPr>
          <w:rFonts w:hint="eastAsia" w:ascii="黑体" w:hAnsi="黑体" w:eastAsia="黑体" w:cs="黑体"/>
          <w:sz w:val="32"/>
          <w:szCs w:val="32"/>
          <w:lang w:val="en-US" w:eastAsia="zh-CN"/>
        </w:rPr>
        <w:t>- 2 -</w:t>
      </w:r>
      <w:r>
        <w:rPr>
          <w:rFonts w:hint="eastAsia" w:ascii="黑体" w:hAnsi="黑体" w:eastAsia="黑体" w:cs="黑体"/>
          <w:sz w:val="32"/>
          <w:szCs w:val="32"/>
          <w:lang w:val="en-US" w:eastAsia="zh-CN"/>
        </w:rPr>
        <w:fldChar w:fldCharType="end"/>
      </w:r>
      <w:r>
        <w:rPr>
          <w:rFonts w:hint="eastAsia" w:ascii="黑体" w:hAnsi="黑体" w:eastAsia="黑体" w:cs="黑体"/>
          <w:sz w:val="32"/>
          <w:szCs w:val="32"/>
          <w:lang w:val="en-US" w:eastAsia="zh-CN"/>
        </w:rPr>
        <w:fldChar w:fldCharType="end"/>
      </w:r>
    </w:p>
    <w:p w14:paraId="0C65DBE9">
      <w:pPr>
        <w:pStyle w:val="7"/>
        <w:tabs>
          <w:tab w:val="right" w:leader="dot" w:pos="8306"/>
        </w:tabs>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fldChar w:fldCharType="begin"/>
      </w:r>
      <w:r>
        <w:rPr>
          <w:rFonts w:hint="eastAsia" w:ascii="楷体" w:hAnsi="楷体" w:eastAsia="楷体" w:cs="楷体"/>
          <w:sz w:val="32"/>
          <w:szCs w:val="32"/>
          <w:lang w:val="en-US" w:eastAsia="zh-CN"/>
        </w:rPr>
        <w:instrText xml:space="preserve"> HYPERLINK \l _Toc2305 </w:instrText>
      </w:r>
      <w:r>
        <w:rPr>
          <w:rFonts w:hint="eastAsia" w:ascii="楷体" w:hAnsi="楷体" w:eastAsia="楷体" w:cs="楷体"/>
          <w:sz w:val="32"/>
          <w:szCs w:val="32"/>
          <w:lang w:val="en-US" w:eastAsia="zh-CN"/>
        </w:rPr>
        <w:fldChar w:fldCharType="separate"/>
      </w:r>
      <w:r>
        <w:rPr>
          <w:rFonts w:hint="eastAsia" w:ascii="楷体" w:hAnsi="楷体" w:eastAsia="楷体" w:cs="楷体"/>
          <w:sz w:val="32"/>
          <w:szCs w:val="32"/>
          <w:lang w:val="en-US" w:eastAsia="zh-CN"/>
        </w:rPr>
        <w:t>1.董事会用户认证</w:t>
      </w:r>
      <w:r>
        <w:rPr>
          <w:rFonts w:hint="eastAsia" w:ascii="楷体" w:hAnsi="楷体" w:eastAsia="楷体" w:cs="楷体"/>
          <w:sz w:val="32"/>
          <w:szCs w:val="32"/>
          <w:lang w:val="en-US" w:eastAsia="zh-CN"/>
        </w:rPr>
        <w:tab/>
      </w:r>
      <w:r>
        <w:rPr>
          <w:rFonts w:hint="eastAsia" w:ascii="楷体" w:hAnsi="楷体" w:eastAsia="楷体" w:cs="楷体"/>
          <w:sz w:val="32"/>
          <w:szCs w:val="32"/>
          <w:lang w:val="en-US" w:eastAsia="zh-CN"/>
        </w:rPr>
        <w:fldChar w:fldCharType="begin"/>
      </w:r>
      <w:r>
        <w:rPr>
          <w:rFonts w:hint="eastAsia" w:ascii="楷体" w:hAnsi="楷体" w:eastAsia="楷体" w:cs="楷体"/>
          <w:sz w:val="32"/>
          <w:szCs w:val="32"/>
          <w:lang w:val="en-US" w:eastAsia="zh-CN"/>
        </w:rPr>
        <w:instrText xml:space="preserve"> PAGEREF _Toc2305 \h </w:instrText>
      </w:r>
      <w:r>
        <w:rPr>
          <w:rFonts w:hint="eastAsia" w:ascii="楷体" w:hAnsi="楷体" w:eastAsia="楷体" w:cs="楷体"/>
          <w:sz w:val="32"/>
          <w:szCs w:val="32"/>
          <w:lang w:val="en-US" w:eastAsia="zh-CN"/>
        </w:rPr>
        <w:fldChar w:fldCharType="separate"/>
      </w:r>
      <w:r>
        <w:rPr>
          <w:rFonts w:hint="eastAsia" w:ascii="楷体" w:hAnsi="楷体" w:eastAsia="楷体" w:cs="楷体"/>
          <w:sz w:val="32"/>
          <w:szCs w:val="32"/>
          <w:lang w:val="en-US" w:eastAsia="zh-CN"/>
        </w:rPr>
        <w:t>- 2 -</w:t>
      </w:r>
      <w:r>
        <w:rPr>
          <w:rFonts w:hint="eastAsia" w:ascii="楷体" w:hAnsi="楷体" w:eastAsia="楷体" w:cs="楷体"/>
          <w:sz w:val="32"/>
          <w:szCs w:val="32"/>
          <w:lang w:val="en-US" w:eastAsia="zh-CN"/>
        </w:rPr>
        <w:fldChar w:fldCharType="end"/>
      </w:r>
      <w:r>
        <w:rPr>
          <w:rFonts w:hint="eastAsia" w:ascii="楷体" w:hAnsi="楷体" w:eastAsia="楷体" w:cs="楷体"/>
          <w:sz w:val="32"/>
          <w:szCs w:val="32"/>
          <w:lang w:val="en-US" w:eastAsia="zh-CN"/>
        </w:rPr>
        <w:fldChar w:fldCharType="end"/>
      </w:r>
    </w:p>
    <w:p w14:paraId="527EF2FC">
      <w:pPr>
        <w:pStyle w:val="7"/>
        <w:tabs>
          <w:tab w:val="right" w:leader="dot" w:pos="8306"/>
        </w:tabs>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fldChar w:fldCharType="begin"/>
      </w:r>
      <w:r>
        <w:rPr>
          <w:rFonts w:hint="eastAsia" w:ascii="楷体" w:hAnsi="楷体" w:eastAsia="楷体" w:cs="楷体"/>
          <w:sz w:val="32"/>
          <w:szCs w:val="32"/>
          <w:lang w:val="en-US" w:eastAsia="zh-CN"/>
        </w:rPr>
        <w:instrText xml:space="preserve"> HYPERLINK \l _Toc8455 </w:instrText>
      </w:r>
      <w:r>
        <w:rPr>
          <w:rFonts w:hint="eastAsia" w:ascii="楷体" w:hAnsi="楷体" w:eastAsia="楷体" w:cs="楷体"/>
          <w:sz w:val="32"/>
          <w:szCs w:val="32"/>
          <w:lang w:val="en-US" w:eastAsia="zh-CN"/>
        </w:rPr>
        <w:fldChar w:fldCharType="separate"/>
      </w:r>
      <w:r>
        <w:rPr>
          <w:rFonts w:hint="eastAsia" w:ascii="楷体" w:hAnsi="楷体" w:eastAsia="楷体" w:cs="楷体"/>
          <w:sz w:val="32"/>
          <w:szCs w:val="32"/>
          <w:lang w:val="en-US" w:eastAsia="zh-CN"/>
        </w:rPr>
        <w:t>2.认证状态</w:t>
      </w:r>
      <w:r>
        <w:rPr>
          <w:rFonts w:hint="eastAsia" w:ascii="楷体" w:hAnsi="楷体" w:eastAsia="楷体" w:cs="楷体"/>
          <w:sz w:val="32"/>
          <w:szCs w:val="32"/>
          <w:lang w:val="en-US" w:eastAsia="zh-CN"/>
        </w:rPr>
        <w:tab/>
      </w:r>
      <w:r>
        <w:rPr>
          <w:rFonts w:hint="eastAsia" w:ascii="楷体" w:hAnsi="楷体" w:eastAsia="楷体" w:cs="楷体"/>
          <w:sz w:val="32"/>
          <w:szCs w:val="32"/>
          <w:lang w:val="en-US" w:eastAsia="zh-CN"/>
        </w:rPr>
        <w:fldChar w:fldCharType="begin"/>
      </w:r>
      <w:r>
        <w:rPr>
          <w:rFonts w:hint="eastAsia" w:ascii="楷体" w:hAnsi="楷体" w:eastAsia="楷体" w:cs="楷体"/>
          <w:sz w:val="32"/>
          <w:szCs w:val="32"/>
          <w:lang w:val="en-US" w:eastAsia="zh-CN"/>
        </w:rPr>
        <w:instrText xml:space="preserve"> PAGEREF _Toc8455 \h </w:instrText>
      </w:r>
      <w:r>
        <w:rPr>
          <w:rFonts w:hint="eastAsia" w:ascii="楷体" w:hAnsi="楷体" w:eastAsia="楷体" w:cs="楷体"/>
          <w:sz w:val="32"/>
          <w:szCs w:val="32"/>
          <w:lang w:val="en-US" w:eastAsia="zh-CN"/>
        </w:rPr>
        <w:fldChar w:fldCharType="separate"/>
      </w:r>
      <w:r>
        <w:rPr>
          <w:rFonts w:hint="eastAsia" w:ascii="楷体" w:hAnsi="楷体" w:eastAsia="楷体" w:cs="楷体"/>
          <w:sz w:val="32"/>
          <w:szCs w:val="32"/>
          <w:lang w:val="en-US" w:eastAsia="zh-CN"/>
        </w:rPr>
        <w:t>- 3 -</w:t>
      </w:r>
      <w:r>
        <w:rPr>
          <w:rFonts w:hint="eastAsia" w:ascii="楷体" w:hAnsi="楷体" w:eastAsia="楷体" w:cs="楷体"/>
          <w:sz w:val="32"/>
          <w:szCs w:val="32"/>
          <w:lang w:val="en-US" w:eastAsia="zh-CN"/>
        </w:rPr>
        <w:fldChar w:fldCharType="end"/>
      </w:r>
      <w:r>
        <w:rPr>
          <w:rFonts w:hint="eastAsia" w:ascii="楷体" w:hAnsi="楷体" w:eastAsia="楷体" w:cs="楷体"/>
          <w:sz w:val="32"/>
          <w:szCs w:val="32"/>
          <w:lang w:val="en-US" w:eastAsia="zh-CN"/>
        </w:rPr>
        <w:fldChar w:fldCharType="end"/>
      </w:r>
    </w:p>
    <w:p w14:paraId="205E54A8">
      <w:pPr>
        <w:pStyle w:val="6"/>
        <w:tabs>
          <w:tab w:val="right" w:leader="dot" w:pos="8306"/>
        </w:tabs>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fldChar w:fldCharType="begin"/>
      </w:r>
      <w:r>
        <w:rPr>
          <w:rFonts w:hint="eastAsia" w:ascii="黑体" w:hAnsi="黑体" w:eastAsia="黑体" w:cs="黑体"/>
          <w:sz w:val="32"/>
          <w:szCs w:val="32"/>
          <w:lang w:val="en-US" w:eastAsia="zh-CN"/>
        </w:rPr>
        <w:instrText xml:space="preserve"> HYPERLINK \l _Toc8147 </w:instrText>
      </w:r>
      <w:r>
        <w:rPr>
          <w:rFonts w:hint="eastAsia" w:ascii="黑体" w:hAnsi="黑体" w:eastAsia="黑体" w:cs="黑体"/>
          <w:sz w:val="32"/>
          <w:szCs w:val="32"/>
          <w:lang w:val="en-US" w:eastAsia="zh-CN"/>
        </w:rPr>
        <w:fldChar w:fldCharType="separate"/>
      </w:r>
      <w:r>
        <w:rPr>
          <w:rFonts w:hint="eastAsia" w:ascii="黑体" w:hAnsi="黑体" w:eastAsia="黑体" w:cs="黑体"/>
          <w:sz w:val="32"/>
          <w:szCs w:val="32"/>
          <w:lang w:val="en-US" w:eastAsia="zh-CN"/>
        </w:rPr>
        <w:t>三、问卷申报</w:t>
      </w:r>
      <w:r>
        <w:rPr>
          <w:rFonts w:hint="eastAsia" w:ascii="黑体" w:hAnsi="黑体" w:eastAsia="黑体" w:cs="黑体"/>
          <w:sz w:val="32"/>
          <w:szCs w:val="32"/>
          <w:lang w:val="en-US" w:eastAsia="zh-CN"/>
        </w:rPr>
        <w:tab/>
      </w:r>
      <w:r>
        <w:rPr>
          <w:rFonts w:hint="eastAsia" w:ascii="黑体" w:hAnsi="黑体" w:eastAsia="黑体" w:cs="黑体"/>
          <w:sz w:val="32"/>
          <w:szCs w:val="32"/>
          <w:lang w:val="en-US" w:eastAsia="zh-CN"/>
        </w:rPr>
        <w:fldChar w:fldCharType="begin"/>
      </w:r>
      <w:r>
        <w:rPr>
          <w:rFonts w:hint="eastAsia" w:ascii="黑体" w:hAnsi="黑体" w:eastAsia="黑体" w:cs="黑体"/>
          <w:sz w:val="32"/>
          <w:szCs w:val="32"/>
          <w:lang w:val="en-US" w:eastAsia="zh-CN"/>
        </w:rPr>
        <w:instrText xml:space="preserve"> PAGEREF _Toc8147 \h </w:instrText>
      </w:r>
      <w:r>
        <w:rPr>
          <w:rFonts w:hint="eastAsia" w:ascii="黑体" w:hAnsi="黑体" w:eastAsia="黑体" w:cs="黑体"/>
          <w:sz w:val="32"/>
          <w:szCs w:val="32"/>
          <w:lang w:val="en-US" w:eastAsia="zh-CN"/>
        </w:rPr>
        <w:fldChar w:fldCharType="separate"/>
      </w:r>
      <w:r>
        <w:rPr>
          <w:rFonts w:hint="eastAsia" w:ascii="黑体" w:hAnsi="黑体" w:eastAsia="黑体" w:cs="黑体"/>
          <w:sz w:val="32"/>
          <w:szCs w:val="32"/>
          <w:lang w:val="en-US" w:eastAsia="zh-CN"/>
        </w:rPr>
        <w:t>- 4 -</w:t>
      </w:r>
      <w:r>
        <w:rPr>
          <w:rFonts w:hint="eastAsia" w:ascii="黑体" w:hAnsi="黑体" w:eastAsia="黑体" w:cs="黑体"/>
          <w:sz w:val="32"/>
          <w:szCs w:val="32"/>
          <w:lang w:val="en-US" w:eastAsia="zh-CN"/>
        </w:rPr>
        <w:fldChar w:fldCharType="end"/>
      </w:r>
      <w:r>
        <w:rPr>
          <w:rFonts w:hint="eastAsia" w:ascii="黑体" w:hAnsi="黑体" w:eastAsia="黑体" w:cs="黑体"/>
          <w:sz w:val="32"/>
          <w:szCs w:val="32"/>
          <w:lang w:val="en-US" w:eastAsia="zh-CN"/>
        </w:rPr>
        <w:fldChar w:fldCharType="end"/>
      </w:r>
    </w:p>
    <w:p w14:paraId="732C4EDF">
      <w:pPr>
        <w:pStyle w:val="7"/>
        <w:tabs>
          <w:tab w:val="right" w:leader="dot" w:pos="8306"/>
        </w:tabs>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fldChar w:fldCharType="begin"/>
      </w:r>
      <w:r>
        <w:rPr>
          <w:rFonts w:hint="eastAsia" w:ascii="楷体" w:hAnsi="楷体" w:eastAsia="楷体" w:cs="楷体"/>
          <w:sz w:val="32"/>
          <w:szCs w:val="32"/>
          <w:lang w:val="en-US" w:eastAsia="zh-CN"/>
        </w:rPr>
        <w:instrText xml:space="preserve"> HYPERLINK \l _Toc22792 </w:instrText>
      </w:r>
      <w:r>
        <w:rPr>
          <w:rFonts w:hint="eastAsia" w:ascii="楷体" w:hAnsi="楷体" w:eastAsia="楷体" w:cs="楷体"/>
          <w:sz w:val="32"/>
          <w:szCs w:val="32"/>
          <w:lang w:val="en-US" w:eastAsia="zh-CN"/>
        </w:rPr>
        <w:fldChar w:fldCharType="separate"/>
      </w:r>
      <w:r>
        <w:rPr>
          <w:rFonts w:hint="eastAsia" w:ascii="楷体" w:hAnsi="楷体" w:eastAsia="楷体" w:cs="楷体"/>
          <w:sz w:val="32"/>
          <w:szCs w:val="32"/>
          <w:lang w:val="en-US" w:eastAsia="zh-CN"/>
        </w:rPr>
        <w:t>1.问卷申报</w:t>
      </w:r>
      <w:r>
        <w:rPr>
          <w:rFonts w:hint="eastAsia" w:ascii="楷体" w:hAnsi="楷体" w:eastAsia="楷体" w:cs="楷体"/>
          <w:sz w:val="32"/>
          <w:szCs w:val="32"/>
          <w:lang w:val="en-US" w:eastAsia="zh-CN"/>
        </w:rPr>
        <w:tab/>
      </w:r>
      <w:r>
        <w:rPr>
          <w:rFonts w:hint="eastAsia" w:ascii="楷体" w:hAnsi="楷体" w:eastAsia="楷体" w:cs="楷体"/>
          <w:sz w:val="32"/>
          <w:szCs w:val="32"/>
          <w:lang w:val="en-US" w:eastAsia="zh-CN"/>
        </w:rPr>
        <w:fldChar w:fldCharType="begin"/>
      </w:r>
      <w:r>
        <w:rPr>
          <w:rFonts w:hint="eastAsia" w:ascii="楷体" w:hAnsi="楷体" w:eastAsia="楷体" w:cs="楷体"/>
          <w:sz w:val="32"/>
          <w:szCs w:val="32"/>
          <w:lang w:val="en-US" w:eastAsia="zh-CN"/>
        </w:rPr>
        <w:instrText xml:space="preserve"> PAGEREF _Toc22792 \h </w:instrText>
      </w:r>
      <w:r>
        <w:rPr>
          <w:rFonts w:hint="eastAsia" w:ascii="楷体" w:hAnsi="楷体" w:eastAsia="楷体" w:cs="楷体"/>
          <w:sz w:val="32"/>
          <w:szCs w:val="32"/>
          <w:lang w:val="en-US" w:eastAsia="zh-CN"/>
        </w:rPr>
        <w:fldChar w:fldCharType="separate"/>
      </w:r>
      <w:r>
        <w:rPr>
          <w:rFonts w:hint="eastAsia" w:ascii="楷体" w:hAnsi="楷体" w:eastAsia="楷体" w:cs="楷体"/>
          <w:sz w:val="32"/>
          <w:szCs w:val="32"/>
          <w:lang w:val="en-US" w:eastAsia="zh-CN"/>
        </w:rPr>
        <w:t>- 4 -</w:t>
      </w:r>
      <w:r>
        <w:rPr>
          <w:rFonts w:hint="eastAsia" w:ascii="楷体" w:hAnsi="楷体" w:eastAsia="楷体" w:cs="楷体"/>
          <w:sz w:val="32"/>
          <w:szCs w:val="32"/>
          <w:lang w:val="en-US" w:eastAsia="zh-CN"/>
        </w:rPr>
        <w:fldChar w:fldCharType="end"/>
      </w:r>
      <w:r>
        <w:rPr>
          <w:rFonts w:hint="eastAsia" w:ascii="楷体" w:hAnsi="楷体" w:eastAsia="楷体" w:cs="楷体"/>
          <w:sz w:val="32"/>
          <w:szCs w:val="32"/>
          <w:lang w:val="en-US" w:eastAsia="zh-CN"/>
        </w:rPr>
        <w:fldChar w:fldCharType="end"/>
      </w:r>
    </w:p>
    <w:p w14:paraId="4C410584">
      <w:pPr>
        <w:pStyle w:val="7"/>
        <w:tabs>
          <w:tab w:val="right" w:leader="dot" w:pos="8306"/>
        </w:tabs>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fldChar w:fldCharType="begin"/>
      </w:r>
      <w:r>
        <w:rPr>
          <w:rFonts w:hint="eastAsia" w:ascii="楷体" w:hAnsi="楷体" w:eastAsia="楷体" w:cs="楷体"/>
          <w:sz w:val="32"/>
          <w:szCs w:val="32"/>
          <w:lang w:val="en-US" w:eastAsia="zh-CN"/>
        </w:rPr>
        <w:instrText xml:space="preserve"> HYPERLINK \l _Toc11787 </w:instrText>
      </w:r>
      <w:r>
        <w:rPr>
          <w:rFonts w:hint="eastAsia" w:ascii="楷体" w:hAnsi="楷体" w:eastAsia="楷体" w:cs="楷体"/>
          <w:sz w:val="32"/>
          <w:szCs w:val="32"/>
          <w:lang w:val="en-US" w:eastAsia="zh-CN"/>
        </w:rPr>
        <w:fldChar w:fldCharType="separate"/>
      </w:r>
      <w:r>
        <w:rPr>
          <w:rFonts w:hint="eastAsia" w:ascii="楷体" w:hAnsi="楷体" w:eastAsia="楷体" w:cs="楷体"/>
          <w:sz w:val="32"/>
          <w:szCs w:val="32"/>
          <w:lang w:val="en-US" w:eastAsia="zh-CN"/>
        </w:rPr>
        <w:t>2.申报要求</w:t>
      </w:r>
      <w:r>
        <w:rPr>
          <w:rFonts w:hint="eastAsia" w:ascii="楷体" w:hAnsi="楷体" w:eastAsia="楷体" w:cs="楷体"/>
          <w:sz w:val="32"/>
          <w:szCs w:val="32"/>
          <w:lang w:val="en-US" w:eastAsia="zh-CN"/>
        </w:rPr>
        <w:tab/>
      </w:r>
      <w:r>
        <w:rPr>
          <w:rFonts w:hint="eastAsia" w:ascii="楷体" w:hAnsi="楷体" w:eastAsia="楷体" w:cs="楷体"/>
          <w:sz w:val="32"/>
          <w:szCs w:val="32"/>
          <w:lang w:val="en-US" w:eastAsia="zh-CN"/>
        </w:rPr>
        <w:fldChar w:fldCharType="begin"/>
      </w:r>
      <w:r>
        <w:rPr>
          <w:rFonts w:hint="eastAsia" w:ascii="楷体" w:hAnsi="楷体" w:eastAsia="楷体" w:cs="楷体"/>
          <w:sz w:val="32"/>
          <w:szCs w:val="32"/>
          <w:lang w:val="en-US" w:eastAsia="zh-CN"/>
        </w:rPr>
        <w:instrText xml:space="preserve"> PAGEREF _Toc11787 \h </w:instrText>
      </w:r>
      <w:r>
        <w:rPr>
          <w:rFonts w:hint="eastAsia" w:ascii="楷体" w:hAnsi="楷体" w:eastAsia="楷体" w:cs="楷体"/>
          <w:sz w:val="32"/>
          <w:szCs w:val="32"/>
          <w:lang w:val="en-US" w:eastAsia="zh-CN"/>
        </w:rPr>
        <w:fldChar w:fldCharType="separate"/>
      </w:r>
      <w:r>
        <w:rPr>
          <w:rFonts w:hint="eastAsia" w:ascii="楷体" w:hAnsi="楷体" w:eastAsia="楷体" w:cs="楷体"/>
          <w:sz w:val="32"/>
          <w:szCs w:val="32"/>
          <w:lang w:val="en-US" w:eastAsia="zh-CN"/>
        </w:rPr>
        <w:t>- 4 -</w:t>
      </w:r>
      <w:r>
        <w:rPr>
          <w:rFonts w:hint="eastAsia" w:ascii="楷体" w:hAnsi="楷体" w:eastAsia="楷体" w:cs="楷体"/>
          <w:sz w:val="32"/>
          <w:szCs w:val="32"/>
          <w:lang w:val="en-US" w:eastAsia="zh-CN"/>
        </w:rPr>
        <w:fldChar w:fldCharType="end"/>
      </w:r>
      <w:r>
        <w:rPr>
          <w:rFonts w:hint="eastAsia" w:ascii="楷体" w:hAnsi="楷体" w:eastAsia="楷体" w:cs="楷体"/>
          <w:sz w:val="32"/>
          <w:szCs w:val="32"/>
          <w:lang w:val="en-US" w:eastAsia="zh-CN"/>
        </w:rPr>
        <w:fldChar w:fldCharType="end"/>
      </w:r>
    </w:p>
    <w:p w14:paraId="413BD393">
      <w:pPr>
        <w:pStyle w:val="7"/>
        <w:tabs>
          <w:tab w:val="right" w:leader="dot" w:pos="8306"/>
        </w:tabs>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fldChar w:fldCharType="begin"/>
      </w:r>
      <w:r>
        <w:rPr>
          <w:rFonts w:hint="eastAsia" w:ascii="楷体" w:hAnsi="楷体" w:eastAsia="楷体" w:cs="楷体"/>
          <w:sz w:val="32"/>
          <w:szCs w:val="32"/>
          <w:lang w:val="en-US" w:eastAsia="zh-CN"/>
        </w:rPr>
        <w:instrText xml:space="preserve"> HYPERLINK \l _Toc2250 </w:instrText>
      </w:r>
      <w:r>
        <w:rPr>
          <w:rFonts w:hint="eastAsia" w:ascii="楷体" w:hAnsi="楷体" w:eastAsia="楷体" w:cs="楷体"/>
          <w:sz w:val="32"/>
          <w:szCs w:val="32"/>
          <w:lang w:val="en-US" w:eastAsia="zh-CN"/>
        </w:rPr>
        <w:fldChar w:fldCharType="separate"/>
      </w:r>
      <w:r>
        <w:rPr>
          <w:rFonts w:hint="eastAsia" w:ascii="楷体" w:hAnsi="楷体" w:eastAsia="楷体" w:cs="楷体"/>
          <w:sz w:val="32"/>
          <w:szCs w:val="32"/>
          <w:lang w:val="en-US" w:eastAsia="zh-CN"/>
        </w:rPr>
        <w:t>3.问卷状态</w:t>
      </w:r>
      <w:r>
        <w:rPr>
          <w:rFonts w:hint="eastAsia" w:ascii="楷体" w:hAnsi="楷体" w:eastAsia="楷体" w:cs="楷体"/>
          <w:sz w:val="32"/>
          <w:szCs w:val="32"/>
          <w:lang w:val="en-US" w:eastAsia="zh-CN"/>
        </w:rPr>
        <w:tab/>
      </w:r>
      <w:r>
        <w:rPr>
          <w:rFonts w:hint="eastAsia" w:ascii="楷体" w:hAnsi="楷体" w:eastAsia="楷体" w:cs="楷体"/>
          <w:sz w:val="32"/>
          <w:szCs w:val="32"/>
          <w:lang w:val="en-US" w:eastAsia="zh-CN"/>
        </w:rPr>
        <w:fldChar w:fldCharType="begin"/>
      </w:r>
      <w:r>
        <w:rPr>
          <w:rFonts w:hint="eastAsia" w:ascii="楷体" w:hAnsi="楷体" w:eastAsia="楷体" w:cs="楷体"/>
          <w:sz w:val="32"/>
          <w:szCs w:val="32"/>
          <w:lang w:val="en-US" w:eastAsia="zh-CN"/>
        </w:rPr>
        <w:instrText xml:space="preserve"> PAGEREF _Toc2250 \h </w:instrText>
      </w:r>
      <w:r>
        <w:rPr>
          <w:rFonts w:hint="eastAsia" w:ascii="楷体" w:hAnsi="楷体" w:eastAsia="楷体" w:cs="楷体"/>
          <w:sz w:val="32"/>
          <w:szCs w:val="32"/>
          <w:lang w:val="en-US" w:eastAsia="zh-CN"/>
        </w:rPr>
        <w:fldChar w:fldCharType="separate"/>
      </w:r>
      <w:r>
        <w:rPr>
          <w:rFonts w:hint="eastAsia" w:ascii="楷体" w:hAnsi="楷体" w:eastAsia="楷体" w:cs="楷体"/>
          <w:sz w:val="32"/>
          <w:szCs w:val="32"/>
          <w:lang w:val="en-US" w:eastAsia="zh-CN"/>
        </w:rPr>
        <w:t>- 5 -</w:t>
      </w:r>
      <w:r>
        <w:rPr>
          <w:rFonts w:hint="eastAsia" w:ascii="楷体" w:hAnsi="楷体" w:eastAsia="楷体" w:cs="楷体"/>
          <w:sz w:val="32"/>
          <w:szCs w:val="32"/>
          <w:lang w:val="en-US" w:eastAsia="zh-CN"/>
        </w:rPr>
        <w:fldChar w:fldCharType="end"/>
      </w:r>
      <w:r>
        <w:rPr>
          <w:rFonts w:hint="eastAsia" w:ascii="楷体" w:hAnsi="楷体" w:eastAsia="楷体" w:cs="楷体"/>
          <w:sz w:val="32"/>
          <w:szCs w:val="32"/>
          <w:lang w:val="en-US" w:eastAsia="zh-CN"/>
        </w:rPr>
        <w:fldChar w:fldCharType="end"/>
      </w:r>
    </w:p>
    <w:p w14:paraId="382C6B1E">
      <w:pPr>
        <w:pStyle w:val="4"/>
        <w:numPr>
          <w:ilvl w:val="0"/>
          <w:numId w:val="0"/>
        </w:numPr>
        <w:bidi w:val="0"/>
        <w:ind w:leftChars="0"/>
        <w:outlineLvl w:val="9"/>
        <w:rPr>
          <w:rFonts w:hint="eastAsia" w:ascii="黑体" w:hAnsi="黑体" w:eastAsia="黑体" w:cs="黑体"/>
          <w:sz w:val="32"/>
          <w:szCs w:val="32"/>
          <w:lang w:val="en-US" w:eastAsia="zh-CN"/>
        </w:rPr>
        <w:sectPr>
          <w:footerReference r:id="rId3" w:type="default"/>
          <w:pgSz w:w="11906" w:h="16838"/>
          <w:pgMar w:top="1440" w:right="1800" w:bottom="1440" w:left="1800" w:header="851" w:footer="992" w:gutter="0"/>
          <w:pgNumType w:fmt="numberInDash" w:start="1"/>
          <w:cols w:space="425" w:num="1"/>
          <w:docGrid w:type="lines" w:linePitch="312" w:charSpace="0"/>
        </w:sectPr>
      </w:pPr>
      <w:r>
        <w:rPr>
          <w:rFonts w:hint="eastAsia" w:ascii="黑体" w:hAnsi="黑体" w:eastAsia="黑体" w:cs="黑体"/>
          <w:sz w:val="32"/>
          <w:szCs w:val="32"/>
          <w:lang w:val="en-US" w:eastAsia="zh-CN"/>
        </w:rPr>
        <w:fldChar w:fldCharType="end"/>
      </w:r>
    </w:p>
    <w:p w14:paraId="2DB019F9">
      <w:pPr>
        <w:pStyle w:val="4"/>
        <w:pageBreakBefore w:val="0"/>
        <w:widowControl w:val="0"/>
        <w:numPr>
          <w:ilvl w:val="0"/>
          <w:numId w:val="0"/>
        </w:numPr>
        <w:kinsoku/>
        <w:wordWrap/>
        <w:overflowPunct/>
        <w:topLinePunct w:val="0"/>
        <w:autoSpaceDE/>
        <w:autoSpaceDN/>
        <w:bidi w:val="0"/>
        <w:adjustRightInd/>
        <w:snapToGrid/>
        <w:ind w:leftChars="0" w:firstLine="643" w:firstLineChars="200"/>
        <w:textAlignment w:val="auto"/>
        <w:rPr>
          <w:rFonts w:hint="default" w:ascii="黑体" w:hAnsi="黑体" w:eastAsia="黑体" w:cs="黑体"/>
          <w:sz w:val="32"/>
          <w:szCs w:val="32"/>
          <w:highlight w:val="yellow"/>
          <w:lang w:val="en-US" w:eastAsia="zh-CN"/>
        </w:rPr>
      </w:pPr>
      <w:bookmarkStart w:id="1" w:name="_Toc58"/>
      <w:bookmarkStart w:id="2" w:name="_Toc14513"/>
      <w:r>
        <w:rPr>
          <w:rFonts w:hint="eastAsia" w:ascii="黑体" w:hAnsi="黑体" w:eastAsia="黑体" w:cs="黑体"/>
          <w:sz w:val="32"/>
          <w:szCs w:val="32"/>
          <w:highlight w:val="none"/>
          <w:lang w:val="en-US" w:eastAsia="zh-CN"/>
        </w:rPr>
        <w:t>一、用户</w:t>
      </w:r>
      <w:bookmarkEnd w:id="1"/>
      <w:r>
        <w:rPr>
          <w:rFonts w:hint="eastAsia" w:ascii="黑体" w:hAnsi="黑体" w:eastAsia="黑体" w:cs="黑体"/>
          <w:sz w:val="32"/>
          <w:szCs w:val="32"/>
          <w:highlight w:val="none"/>
          <w:lang w:val="en-US" w:eastAsia="zh-CN"/>
        </w:rPr>
        <w:t>登录</w:t>
      </w:r>
      <w:bookmarkEnd w:id="2"/>
    </w:p>
    <w:p w14:paraId="5BBDC47B">
      <w:pPr>
        <w:pageBreakBefore w:val="0"/>
        <w:widowControl w:val="0"/>
        <w:numPr>
          <w:ilvl w:val="0"/>
          <w:numId w:val="0"/>
        </w:numPr>
        <w:kinsoku/>
        <w:wordWrap/>
        <w:overflowPunct/>
        <w:topLinePunct w:val="0"/>
        <w:autoSpaceDE/>
        <w:autoSpaceDN/>
        <w:bidi w:val="0"/>
        <w:adjustRightInd/>
        <w:snapToGrid/>
        <w:spacing w:before="120" w:after="120" w:line="288" w:lineRule="auto"/>
        <w:ind w:firstLine="643" w:firstLineChars="200"/>
        <w:jc w:val="left"/>
        <w:textAlignment w:val="auto"/>
        <w:rPr>
          <w:rFonts w:hint="default" w:ascii="仿宋" w:hAnsi="仿宋" w:eastAsia="仿宋" w:cs="仿宋"/>
          <w:color w:val="auto"/>
          <w:sz w:val="32"/>
          <w:szCs w:val="32"/>
          <w:highlight w:val="none"/>
          <w:lang w:val="en-US"/>
        </w:rPr>
      </w:pPr>
      <w:bookmarkStart w:id="3" w:name="_Toc14325"/>
      <w:r>
        <w:rPr>
          <w:rStyle w:val="11"/>
          <w:rFonts w:hint="eastAsia"/>
          <w:color w:val="auto"/>
          <w:sz w:val="32"/>
          <w:szCs w:val="32"/>
          <w:u w:val="none"/>
          <w:lang w:val="en-US" w:eastAsia="zh-CN"/>
        </w:rPr>
        <w:t>1.申报网址</w:t>
      </w:r>
      <w:bookmarkEnd w:id="3"/>
      <w:r>
        <w:rPr>
          <w:rFonts w:hint="eastAsia" w:ascii="仿宋" w:hAnsi="仿宋" w:eastAsia="仿宋" w:cs="仿宋"/>
          <w:color w:val="auto"/>
          <w:sz w:val="32"/>
          <w:szCs w:val="32"/>
          <w:highlight w:val="none"/>
          <w:lang w:val="en-US" w:eastAsia="zh-CN"/>
        </w:rPr>
        <w:t>。登录中国上市公司协会统一用户认证系统（https://xxptwy.capco.org.cn/）。</w:t>
      </w:r>
    </w:p>
    <w:p w14:paraId="2FC28139">
      <w:pPr>
        <w:spacing w:before="120" w:after="120" w:line="288" w:lineRule="auto"/>
        <w:ind w:left="0"/>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drawing>
          <wp:inline distT="0" distB="0" distL="114300" distR="114300">
            <wp:extent cx="5264150" cy="2616835"/>
            <wp:effectExtent l="0" t="0" r="12700" b="12065"/>
            <wp:docPr id="15" name="图片 15" descr="175032136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50321369273"/>
                    <pic:cNvPicPr>
                      <a:picLocks noChangeAspect="1"/>
                    </pic:cNvPicPr>
                  </pic:nvPicPr>
                  <pic:blipFill>
                    <a:blip r:embed="rId8"/>
                    <a:stretch>
                      <a:fillRect/>
                    </a:stretch>
                  </pic:blipFill>
                  <pic:spPr>
                    <a:xfrm>
                      <a:off x="0" y="0"/>
                      <a:ext cx="5264150" cy="2616835"/>
                    </a:xfrm>
                    <a:prstGeom prst="rect">
                      <a:avLst/>
                    </a:prstGeom>
                  </pic:spPr>
                </pic:pic>
              </a:graphicData>
            </a:graphic>
          </wp:inline>
        </w:drawing>
      </w:r>
    </w:p>
    <w:p w14:paraId="50CACA35">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仿宋" w:hAnsi="仿宋" w:eastAsia="仿宋" w:cs="仿宋"/>
          <w:color w:val="auto"/>
          <w:sz w:val="32"/>
          <w:szCs w:val="32"/>
          <w:highlight w:val="none"/>
          <w:lang w:val="en-US" w:eastAsia="zh-CN"/>
        </w:rPr>
      </w:pPr>
      <w:bookmarkStart w:id="4" w:name="_Toc17461"/>
      <w:r>
        <w:rPr>
          <w:rStyle w:val="11"/>
          <w:rFonts w:hint="eastAsia"/>
          <w:lang w:val="en-US" w:eastAsia="zh-CN"/>
        </w:rPr>
        <w:t>2.用户登录</w:t>
      </w:r>
      <w:bookmarkEnd w:id="4"/>
      <w:r>
        <w:rPr>
          <w:rFonts w:hint="eastAsia" w:ascii="仿宋" w:hAnsi="仿宋" w:eastAsia="仿宋" w:cs="仿宋"/>
          <w:color w:val="auto"/>
          <w:sz w:val="32"/>
          <w:szCs w:val="32"/>
          <w:highlight w:val="none"/>
          <w:lang w:val="en-US" w:eastAsia="zh-CN"/>
        </w:rPr>
        <w:t>。已注册用户可使用手机号+密码/验证码登录。未注册用户请点击【立即注册】，填写注册信息，注册完成后将收到短信提示（含初始密码）。</w:t>
      </w:r>
    </w:p>
    <w:p w14:paraId="2B75BDAA">
      <w:pPr>
        <w:numPr>
          <w:ilvl w:val="0"/>
          <w:numId w:val="0"/>
        </w:numPr>
        <w:spacing w:before="120" w:after="120" w:line="288" w:lineRule="auto"/>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drawing>
          <wp:inline distT="0" distB="0" distL="114300" distR="114300">
            <wp:extent cx="5295265" cy="3344545"/>
            <wp:effectExtent l="0" t="0" r="635" b="8255"/>
            <wp:docPr id="16" name="图片 16" descr="用户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用户注册"/>
                    <pic:cNvPicPr>
                      <a:picLocks noChangeAspect="1"/>
                    </pic:cNvPicPr>
                  </pic:nvPicPr>
                  <pic:blipFill>
                    <a:blip r:embed="rId9"/>
                    <a:stretch>
                      <a:fillRect/>
                    </a:stretch>
                  </pic:blipFill>
                  <pic:spPr>
                    <a:xfrm>
                      <a:off x="0" y="0"/>
                      <a:ext cx="5295265" cy="3344545"/>
                    </a:xfrm>
                    <a:prstGeom prst="rect">
                      <a:avLst/>
                    </a:prstGeom>
                  </pic:spPr>
                </pic:pic>
              </a:graphicData>
            </a:graphic>
          </wp:inline>
        </w:drawing>
      </w:r>
    </w:p>
    <w:p w14:paraId="59655947">
      <w:pPr>
        <w:keepNext w:val="0"/>
        <w:keepLines w:val="0"/>
        <w:pageBreakBefore w:val="0"/>
        <w:widowControl w:val="0"/>
        <w:numPr>
          <w:ilvl w:val="0"/>
          <w:numId w:val="0"/>
        </w:numPr>
        <w:kinsoku/>
        <w:wordWrap/>
        <w:overflowPunct/>
        <w:topLinePunct w:val="0"/>
        <w:autoSpaceDE/>
        <w:autoSpaceDN/>
        <w:bidi w:val="0"/>
        <w:adjustRightInd/>
        <w:snapToGrid/>
        <w:spacing w:before="120" w:after="120" w:line="288" w:lineRule="auto"/>
        <w:ind w:firstLine="643" w:firstLineChars="200"/>
        <w:jc w:val="left"/>
        <w:textAlignment w:val="auto"/>
        <w:rPr>
          <w:rFonts w:hint="eastAsia" w:ascii="仿宋" w:hAnsi="仿宋" w:eastAsia="仿宋" w:cs="仿宋"/>
          <w:color w:val="auto"/>
          <w:sz w:val="32"/>
          <w:szCs w:val="32"/>
          <w:highlight w:val="none"/>
          <w:lang w:val="en-US" w:eastAsia="zh-CN"/>
        </w:rPr>
      </w:pPr>
      <w:bookmarkStart w:id="5" w:name="_Toc7937"/>
      <w:r>
        <w:rPr>
          <w:rStyle w:val="11"/>
          <w:rFonts w:hint="eastAsia"/>
          <w:lang w:val="en-US" w:eastAsia="zh-CN"/>
        </w:rPr>
        <w:t>3.修改个人信息</w:t>
      </w:r>
      <w:bookmarkEnd w:id="5"/>
      <w:r>
        <w:rPr>
          <w:rFonts w:hint="eastAsia" w:ascii="仿宋" w:hAnsi="仿宋" w:eastAsia="仿宋" w:cs="仿宋"/>
          <w:color w:val="auto"/>
          <w:sz w:val="32"/>
          <w:szCs w:val="32"/>
          <w:highlight w:val="none"/>
          <w:lang w:val="en-US" w:eastAsia="zh-CN"/>
        </w:rPr>
        <w:t>。登录后，可点击【个人中心】，对本账户的用户名、真实姓名进行完善，并可修改密码、绑定邮箱。不支持修改手机号。</w:t>
      </w:r>
    </w:p>
    <w:p w14:paraId="2D17DF66">
      <w:pPr>
        <w:pStyle w:val="2"/>
        <w:numPr>
          <w:ilvl w:val="0"/>
          <w:numId w:val="0"/>
        </w:numPr>
        <w:ind w:leftChars="0"/>
        <w:jc w:val="center"/>
        <w:rPr>
          <w:rFonts w:hint="default"/>
          <w:lang w:val="en-US" w:eastAsia="zh-CN"/>
        </w:rPr>
      </w:pPr>
      <w:r>
        <w:rPr>
          <w:rFonts w:hint="default"/>
          <w:lang w:val="en-US" w:eastAsia="zh-CN"/>
        </w:rPr>
        <w:drawing>
          <wp:inline distT="0" distB="0" distL="114300" distR="114300">
            <wp:extent cx="5264150" cy="2054860"/>
            <wp:effectExtent l="0" t="0" r="12700" b="2540"/>
            <wp:docPr id="18" name="图片 18" descr="个人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个人中心"/>
                    <pic:cNvPicPr>
                      <a:picLocks noChangeAspect="1"/>
                    </pic:cNvPicPr>
                  </pic:nvPicPr>
                  <pic:blipFill>
                    <a:blip r:embed="rId10"/>
                    <a:stretch>
                      <a:fillRect/>
                    </a:stretch>
                  </pic:blipFill>
                  <pic:spPr>
                    <a:xfrm>
                      <a:off x="0" y="0"/>
                      <a:ext cx="5264150" cy="2054860"/>
                    </a:xfrm>
                    <a:prstGeom prst="rect">
                      <a:avLst/>
                    </a:prstGeom>
                  </pic:spPr>
                </pic:pic>
              </a:graphicData>
            </a:graphic>
          </wp:inline>
        </w:drawing>
      </w:r>
    </w:p>
    <w:p w14:paraId="4C8295B5">
      <w:pPr>
        <w:pageBreakBefore w:val="0"/>
        <w:widowControl w:val="0"/>
        <w:numPr>
          <w:ilvl w:val="0"/>
          <w:numId w:val="0"/>
        </w:numPr>
        <w:kinsoku/>
        <w:wordWrap/>
        <w:overflowPunct/>
        <w:topLinePunct w:val="0"/>
        <w:autoSpaceDE/>
        <w:autoSpaceDN/>
        <w:bidi w:val="0"/>
        <w:adjustRightInd/>
        <w:snapToGrid/>
        <w:spacing w:before="120" w:after="120" w:line="288" w:lineRule="auto"/>
        <w:ind w:firstLine="643" w:firstLineChars="200"/>
        <w:jc w:val="left"/>
        <w:textAlignment w:val="auto"/>
        <w:rPr>
          <w:rFonts w:hint="eastAsia" w:ascii="仿宋" w:hAnsi="仿宋" w:eastAsia="仿宋" w:cs="仿宋"/>
          <w:color w:val="auto"/>
          <w:sz w:val="32"/>
          <w:szCs w:val="32"/>
          <w:highlight w:val="none"/>
        </w:rPr>
      </w:pPr>
      <w:bookmarkStart w:id="6" w:name="_Toc30437"/>
      <w:r>
        <w:rPr>
          <w:rStyle w:val="11"/>
          <w:rFonts w:hint="eastAsia"/>
          <w:lang w:val="en-US" w:eastAsia="zh-CN"/>
        </w:rPr>
        <w:t>4.问题解答</w:t>
      </w:r>
      <w:bookmarkEnd w:id="6"/>
      <w:r>
        <w:rPr>
          <w:rFonts w:hint="eastAsia" w:ascii="仿宋" w:hAnsi="仿宋" w:eastAsia="仿宋" w:cs="仿宋"/>
          <w:color w:val="auto"/>
          <w:sz w:val="32"/>
          <w:szCs w:val="32"/>
          <w:highlight w:val="none"/>
          <w:lang w:val="en-US" w:eastAsia="zh-CN"/>
        </w:rPr>
        <w:t>。如遇技术问题请联系协会信息部张莹010-52106212；问卷申报相关问题请联系会员服务二部任逸010-52101809，翟筱涵010-52101812。</w:t>
      </w:r>
    </w:p>
    <w:p w14:paraId="3BB0A8D0">
      <w:pPr>
        <w:pStyle w:val="4"/>
        <w:pageBreakBefore w:val="0"/>
        <w:widowControl w:val="0"/>
        <w:numPr>
          <w:ilvl w:val="0"/>
          <w:numId w:val="0"/>
        </w:numPr>
        <w:kinsoku/>
        <w:wordWrap/>
        <w:overflowPunct/>
        <w:topLinePunct w:val="0"/>
        <w:autoSpaceDE/>
        <w:autoSpaceDN/>
        <w:bidi w:val="0"/>
        <w:adjustRightInd/>
        <w:snapToGrid/>
        <w:ind w:left="0" w:leftChars="0" w:firstLine="643" w:firstLineChars="200"/>
        <w:textAlignment w:val="auto"/>
        <w:rPr>
          <w:rFonts w:hint="eastAsia"/>
          <w:lang w:val="en-US" w:eastAsia="zh-CN"/>
        </w:rPr>
      </w:pPr>
      <w:bookmarkStart w:id="7" w:name="_Toc16783"/>
    </w:p>
    <w:p w14:paraId="292522CE">
      <w:pPr>
        <w:pStyle w:val="4"/>
        <w:pageBreakBefore w:val="0"/>
        <w:widowControl w:val="0"/>
        <w:numPr>
          <w:ilvl w:val="0"/>
          <w:numId w:val="0"/>
        </w:numPr>
        <w:kinsoku/>
        <w:wordWrap/>
        <w:overflowPunct/>
        <w:topLinePunct w:val="0"/>
        <w:autoSpaceDE/>
        <w:autoSpaceDN/>
        <w:bidi w:val="0"/>
        <w:adjustRightInd/>
        <w:snapToGrid/>
        <w:ind w:left="0" w:leftChars="0" w:firstLine="643" w:firstLineChars="200"/>
        <w:textAlignment w:val="auto"/>
        <w:rPr>
          <w:rFonts w:hint="default"/>
          <w:lang w:val="en-US" w:eastAsia="zh-CN"/>
        </w:rPr>
      </w:pPr>
      <w:r>
        <w:rPr>
          <w:rFonts w:hint="eastAsia"/>
          <w:lang w:val="en-US" w:eastAsia="zh-CN"/>
        </w:rPr>
        <w:t>二、用户认证</w:t>
      </w:r>
      <w:bookmarkEnd w:id="7"/>
    </w:p>
    <w:p w14:paraId="3385FEA3">
      <w:pPr>
        <w:pageBreakBefore w:val="0"/>
        <w:widowControl w:val="0"/>
        <w:numPr>
          <w:ilvl w:val="0"/>
          <w:numId w:val="0"/>
        </w:numPr>
        <w:kinsoku/>
        <w:wordWrap/>
        <w:overflowPunct/>
        <w:topLinePunct w:val="0"/>
        <w:autoSpaceDE/>
        <w:autoSpaceDN/>
        <w:bidi w:val="0"/>
        <w:adjustRightInd/>
        <w:snapToGrid/>
        <w:spacing w:before="120" w:after="120" w:line="288" w:lineRule="auto"/>
        <w:ind w:firstLine="643" w:firstLineChars="200"/>
        <w:jc w:val="left"/>
        <w:textAlignment w:val="auto"/>
        <w:rPr>
          <w:rFonts w:hint="default" w:ascii="仿宋" w:hAnsi="仿宋" w:eastAsia="仿宋" w:cs="仿宋"/>
          <w:color w:val="auto"/>
          <w:sz w:val="32"/>
          <w:szCs w:val="32"/>
          <w:highlight w:val="none"/>
          <w:lang w:val="en-US" w:eastAsia="zh-CN"/>
        </w:rPr>
      </w:pPr>
      <w:bookmarkStart w:id="8" w:name="_Toc2305"/>
      <w:r>
        <w:rPr>
          <w:rStyle w:val="11"/>
          <w:rFonts w:hint="eastAsia"/>
          <w:lang w:val="en-US" w:eastAsia="zh-CN"/>
        </w:rPr>
        <w:t>1.董事会用户认证</w:t>
      </w:r>
      <w:bookmarkEnd w:id="8"/>
      <w:r>
        <w:rPr>
          <w:rFonts w:hint="eastAsia" w:ascii="仿宋" w:hAnsi="仿宋" w:eastAsia="仿宋" w:cs="仿宋"/>
          <w:color w:val="auto"/>
          <w:sz w:val="32"/>
          <w:szCs w:val="32"/>
          <w:highlight w:val="none"/>
          <w:lang w:val="en-US" w:eastAsia="zh-CN"/>
        </w:rPr>
        <w:t>。点击【我的问卷】—【问卷用户认证】，在“待认证”栏目中找到“董事会用户认证”，点击“详情”，填写相关资料。（注：首次认证需提交承诺书，点击“下载模板”下载承诺书，公司加盖公章/董事会章/董办章/证券事务部章后上传PDF扫描件，提交认证后协会将在两个工作日内完成审核。）</w:t>
      </w:r>
    </w:p>
    <w:p w14:paraId="58FE24BB">
      <w:pPr>
        <w:pStyle w:val="2"/>
        <w:numPr>
          <w:ilvl w:val="0"/>
          <w:numId w:val="0"/>
        </w:numPr>
        <w:rPr>
          <w:rFonts w:hint="default"/>
          <w:lang w:val="en-US"/>
        </w:rPr>
      </w:pPr>
    </w:p>
    <w:p w14:paraId="742EF030">
      <w:pPr>
        <w:spacing w:before="120" w:after="120" w:line="288" w:lineRule="auto"/>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drawing>
          <wp:inline distT="0" distB="0" distL="114300" distR="114300">
            <wp:extent cx="5198745" cy="2001520"/>
            <wp:effectExtent l="0" t="0" r="1905" b="17780"/>
            <wp:docPr id="17" name="图片 17" descr="微信图片_2025062011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50620111440"/>
                    <pic:cNvPicPr>
                      <a:picLocks noChangeAspect="1"/>
                    </pic:cNvPicPr>
                  </pic:nvPicPr>
                  <pic:blipFill>
                    <a:blip r:embed="rId11"/>
                    <a:stretch>
                      <a:fillRect/>
                    </a:stretch>
                  </pic:blipFill>
                  <pic:spPr>
                    <a:xfrm>
                      <a:off x="0" y="0"/>
                      <a:ext cx="5198745" cy="2001520"/>
                    </a:xfrm>
                    <a:prstGeom prst="rect">
                      <a:avLst/>
                    </a:prstGeom>
                  </pic:spPr>
                </pic:pic>
              </a:graphicData>
            </a:graphic>
          </wp:inline>
        </w:drawing>
      </w:r>
    </w:p>
    <w:p w14:paraId="212BAEF5">
      <w:pPr>
        <w:pStyle w:val="2"/>
        <w:numPr>
          <w:ilvl w:val="0"/>
          <w:numId w:val="0"/>
        </w:numPr>
        <w:jc w:val="center"/>
        <w:rPr>
          <w:rFonts w:hint="eastAsia"/>
          <w:lang w:eastAsia="zh-CN"/>
        </w:rPr>
      </w:pPr>
      <w:r>
        <w:rPr>
          <w:rFonts w:hint="eastAsia"/>
          <w:lang w:eastAsia="zh-CN"/>
        </w:rPr>
        <w:drawing>
          <wp:inline distT="0" distB="0" distL="114300" distR="114300">
            <wp:extent cx="5165090" cy="3333750"/>
            <wp:effectExtent l="0" t="0" r="16510" b="0"/>
            <wp:docPr id="19" name="图片 19" descr="用户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用户认证"/>
                    <pic:cNvPicPr>
                      <a:picLocks noChangeAspect="1"/>
                    </pic:cNvPicPr>
                  </pic:nvPicPr>
                  <pic:blipFill>
                    <a:blip r:embed="rId12"/>
                    <a:stretch>
                      <a:fillRect/>
                    </a:stretch>
                  </pic:blipFill>
                  <pic:spPr>
                    <a:xfrm>
                      <a:off x="0" y="0"/>
                      <a:ext cx="5165090" cy="3333750"/>
                    </a:xfrm>
                    <a:prstGeom prst="rect">
                      <a:avLst/>
                    </a:prstGeom>
                  </pic:spPr>
                </pic:pic>
              </a:graphicData>
            </a:graphic>
          </wp:inline>
        </w:drawing>
      </w:r>
    </w:p>
    <w:p w14:paraId="133670E4">
      <w:pPr>
        <w:keepNext w:val="0"/>
        <w:keepLines w:val="0"/>
        <w:pageBreakBefore w:val="0"/>
        <w:widowControl w:val="0"/>
        <w:numPr>
          <w:ilvl w:val="0"/>
          <w:numId w:val="0"/>
        </w:numPr>
        <w:kinsoku/>
        <w:wordWrap/>
        <w:overflowPunct/>
        <w:topLinePunct w:val="0"/>
        <w:autoSpaceDE/>
        <w:autoSpaceDN/>
        <w:bidi w:val="0"/>
        <w:adjustRightInd/>
        <w:snapToGrid/>
        <w:spacing w:before="120" w:after="120" w:line="288" w:lineRule="auto"/>
        <w:ind w:firstLine="643" w:firstLineChars="200"/>
        <w:jc w:val="left"/>
        <w:textAlignment w:val="auto"/>
        <w:rPr>
          <w:rFonts w:hint="eastAsia" w:ascii="仿宋" w:hAnsi="仿宋" w:eastAsia="仿宋" w:cs="仿宋"/>
          <w:color w:val="auto"/>
          <w:sz w:val="32"/>
          <w:szCs w:val="32"/>
          <w:highlight w:val="none"/>
          <w:lang w:val="en-US" w:eastAsia="zh-CN"/>
        </w:rPr>
      </w:pPr>
      <w:bookmarkStart w:id="9" w:name="_Toc8455"/>
      <w:r>
        <w:rPr>
          <w:rStyle w:val="11"/>
          <w:rFonts w:hint="eastAsia"/>
          <w:lang w:val="en-US" w:eastAsia="zh-CN"/>
        </w:rPr>
        <w:t>2.认证状态</w:t>
      </w:r>
      <w:bookmarkEnd w:id="9"/>
      <w:r>
        <w:rPr>
          <w:rFonts w:hint="eastAsia" w:ascii="仿宋" w:hAnsi="仿宋" w:eastAsia="仿宋" w:cs="仿宋"/>
          <w:color w:val="auto"/>
          <w:sz w:val="32"/>
          <w:szCs w:val="32"/>
          <w:highlight w:val="none"/>
          <w:lang w:val="en-US" w:eastAsia="zh-CN"/>
        </w:rPr>
        <w:t>。用户提交认证后，协会工作人员将核对填报内容。若所填信息无误，则显示在“审核成功”栏目下；若信息有误，用户可在“审核失败”栏目中按照审核备注进行修改并重新提交。认证状态将以短信形式发送至用户手机，请及时关注。</w:t>
      </w:r>
    </w:p>
    <w:p w14:paraId="15ABB451">
      <w:pPr>
        <w:pStyle w:val="2"/>
        <w:numPr>
          <w:ilvl w:val="0"/>
          <w:numId w:val="0"/>
        </w:numPr>
        <w:jc w:val="center"/>
        <w:rPr>
          <w:rFonts w:hint="eastAsia"/>
          <w:lang w:val="en-US" w:eastAsia="zh-CN"/>
        </w:rPr>
      </w:pPr>
      <w:r>
        <w:rPr>
          <w:rFonts w:hint="eastAsia"/>
          <w:lang w:val="en-US" w:eastAsia="zh-CN"/>
        </w:rPr>
        <w:drawing>
          <wp:inline distT="0" distB="0" distL="114300" distR="114300">
            <wp:extent cx="5264150" cy="1508760"/>
            <wp:effectExtent l="0" t="0" r="12700" b="15240"/>
            <wp:docPr id="21" name="图片 21" descr="认证失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认证失败1"/>
                    <pic:cNvPicPr>
                      <a:picLocks noChangeAspect="1"/>
                    </pic:cNvPicPr>
                  </pic:nvPicPr>
                  <pic:blipFill>
                    <a:blip r:embed="rId13"/>
                    <a:stretch>
                      <a:fillRect/>
                    </a:stretch>
                  </pic:blipFill>
                  <pic:spPr>
                    <a:xfrm>
                      <a:off x="0" y="0"/>
                      <a:ext cx="5264150" cy="1508760"/>
                    </a:xfrm>
                    <a:prstGeom prst="rect">
                      <a:avLst/>
                    </a:prstGeom>
                  </pic:spPr>
                </pic:pic>
              </a:graphicData>
            </a:graphic>
          </wp:inline>
        </w:drawing>
      </w:r>
    </w:p>
    <w:p w14:paraId="40AF6C2D">
      <w:pPr>
        <w:pStyle w:val="4"/>
        <w:numPr>
          <w:ilvl w:val="0"/>
          <w:numId w:val="0"/>
        </w:numPr>
        <w:bidi w:val="0"/>
        <w:ind w:left="0" w:leftChars="0" w:firstLine="0" w:firstLineChars="0"/>
        <w:rPr>
          <w:rFonts w:hint="eastAsia"/>
          <w:lang w:val="en-US" w:eastAsia="zh-CN"/>
        </w:rPr>
      </w:pPr>
      <w:bookmarkStart w:id="10" w:name="_Toc8147"/>
    </w:p>
    <w:p w14:paraId="18E3B229">
      <w:pPr>
        <w:pStyle w:val="4"/>
        <w:pageBreakBefore w:val="0"/>
        <w:widowControl w:val="0"/>
        <w:numPr>
          <w:ilvl w:val="0"/>
          <w:numId w:val="0"/>
        </w:numPr>
        <w:kinsoku/>
        <w:wordWrap/>
        <w:overflowPunct/>
        <w:topLinePunct w:val="0"/>
        <w:autoSpaceDE/>
        <w:autoSpaceDN/>
        <w:bidi w:val="0"/>
        <w:adjustRightInd/>
        <w:snapToGrid/>
        <w:ind w:left="0" w:leftChars="0" w:firstLine="643" w:firstLineChars="200"/>
        <w:textAlignment w:val="auto"/>
        <w:rPr>
          <w:rFonts w:hint="default"/>
          <w:lang w:val="en-US" w:eastAsia="zh-CN"/>
        </w:rPr>
      </w:pPr>
      <w:r>
        <w:rPr>
          <w:rFonts w:hint="eastAsia"/>
          <w:lang w:val="en-US" w:eastAsia="zh-CN"/>
        </w:rPr>
        <w:t>三、问卷申报</w:t>
      </w:r>
      <w:bookmarkEnd w:id="10"/>
    </w:p>
    <w:p w14:paraId="023F84F4">
      <w:pPr>
        <w:pageBreakBefore w:val="0"/>
        <w:widowControl w:val="0"/>
        <w:numPr>
          <w:ilvl w:val="0"/>
          <w:numId w:val="0"/>
        </w:numPr>
        <w:kinsoku/>
        <w:wordWrap/>
        <w:overflowPunct/>
        <w:topLinePunct w:val="0"/>
        <w:autoSpaceDE/>
        <w:autoSpaceDN/>
        <w:bidi w:val="0"/>
        <w:adjustRightInd/>
        <w:snapToGrid/>
        <w:spacing w:before="120" w:after="120" w:line="288" w:lineRule="auto"/>
        <w:ind w:left="0" w:leftChars="0" w:firstLine="643" w:firstLineChars="200"/>
        <w:jc w:val="left"/>
        <w:textAlignment w:val="auto"/>
        <w:rPr>
          <w:rFonts w:hint="eastAsia" w:ascii="仿宋" w:hAnsi="仿宋" w:eastAsia="仿宋" w:cs="仿宋"/>
          <w:color w:val="auto"/>
          <w:sz w:val="32"/>
          <w:szCs w:val="32"/>
          <w:highlight w:val="none"/>
          <w:lang w:val="en-US" w:eastAsia="zh-CN"/>
        </w:rPr>
      </w:pPr>
      <w:bookmarkStart w:id="11" w:name="_Toc22792"/>
      <w:r>
        <w:rPr>
          <w:rStyle w:val="11"/>
          <w:rFonts w:hint="eastAsia"/>
          <w:lang w:val="en-US" w:eastAsia="zh-CN"/>
        </w:rPr>
        <w:t>1.问卷申报</w:t>
      </w:r>
      <w:bookmarkEnd w:id="11"/>
      <w:r>
        <w:rPr>
          <w:rFonts w:hint="eastAsia" w:ascii="仿宋" w:hAnsi="仿宋" w:eastAsia="仿宋" w:cs="仿宋"/>
          <w:color w:val="auto"/>
          <w:sz w:val="32"/>
          <w:szCs w:val="32"/>
          <w:highlight w:val="none"/>
          <w:lang w:val="en-US" w:eastAsia="zh-CN"/>
        </w:rPr>
        <w:t>。用</w:t>
      </w:r>
      <w:r>
        <w:rPr>
          <w:rFonts w:hint="eastAsia" w:ascii="仿宋" w:hAnsi="仿宋" w:eastAsia="仿宋" w:cs="仿宋"/>
          <w:b w:val="0"/>
          <w:bCs w:val="0"/>
          <w:color w:val="auto"/>
          <w:sz w:val="32"/>
          <w:szCs w:val="32"/>
          <w:highlight w:val="none"/>
          <w:lang w:val="en-US" w:eastAsia="zh-CN"/>
        </w:rPr>
        <w:t>户认证审核通过后，</w:t>
      </w:r>
      <w:r>
        <w:rPr>
          <w:rFonts w:hint="eastAsia" w:ascii="仿宋" w:hAnsi="仿宋" w:eastAsia="仿宋" w:cs="仿宋"/>
          <w:color w:val="auto"/>
          <w:sz w:val="32"/>
          <w:szCs w:val="32"/>
          <w:highlight w:val="none"/>
          <w:lang w:val="en-US" w:eastAsia="zh-CN"/>
        </w:rPr>
        <w:t>可在【问卷管理】—【未填报问卷】中找到“2025上市公司董事会最佳实践案例征集活动”问卷，点击“详情”可开始问卷填写。</w:t>
      </w:r>
    </w:p>
    <w:p w14:paraId="42F2C9EA">
      <w:pPr>
        <w:pageBreakBefore w:val="0"/>
        <w:widowControl w:val="0"/>
        <w:numPr>
          <w:ilvl w:val="0"/>
          <w:numId w:val="0"/>
        </w:numPr>
        <w:kinsoku/>
        <w:wordWrap/>
        <w:overflowPunct/>
        <w:topLinePunct w:val="0"/>
        <w:autoSpaceDE/>
        <w:autoSpaceDN/>
        <w:bidi w:val="0"/>
        <w:adjustRightInd/>
        <w:snapToGrid/>
        <w:spacing w:before="120" w:after="120" w:line="288" w:lineRule="auto"/>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drawing>
          <wp:inline distT="0" distB="0" distL="114300" distR="114300">
            <wp:extent cx="5266690" cy="1437640"/>
            <wp:effectExtent l="0" t="0" r="10160" b="10160"/>
            <wp:docPr id="20" name="图片 20" descr="问卷申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问卷申报"/>
                    <pic:cNvPicPr>
                      <a:picLocks noChangeAspect="1"/>
                    </pic:cNvPicPr>
                  </pic:nvPicPr>
                  <pic:blipFill>
                    <a:blip r:embed="rId14"/>
                    <a:stretch>
                      <a:fillRect/>
                    </a:stretch>
                  </pic:blipFill>
                  <pic:spPr>
                    <a:xfrm>
                      <a:off x="0" y="0"/>
                      <a:ext cx="5266690" cy="1437640"/>
                    </a:xfrm>
                    <a:prstGeom prst="rect">
                      <a:avLst/>
                    </a:prstGeom>
                  </pic:spPr>
                </pic:pic>
              </a:graphicData>
            </a:graphic>
          </wp:inline>
        </w:drawing>
      </w:r>
    </w:p>
    <w:p w14:paraId="339A3D87">
      <w:pPr>
        <w:keepNext w:val="0"/>
        <w:keepLines w:val="0"/>
        <w:pageBreakBefore w:val="0"/>
        <w:widowControl w:val="0"/>
        <w:numPr>
          <w:ilvl w:val="0"/>
          <w:numId w:val="0"/>
        </w:numPr>
        <w:kinsoku/>
        <w:wordWrap/>
        <w:overflowPunct/>
        <w:topLinePunct w:val="0"/>
        <w:autoSpaceDE/>
        <w:autoSpaceDN/>
        <w:bidi w:val="0"/>
        <w:adjustRightInd/>
        <w:snapToGrid/>
        <w:spacing w:before="120" w:after="120" w:line="288" w:lineRule="auto"/>
        <w:ind w:left="0" w:leftChars="0" w:firstLine="643" w:firstLineChars="200"/>
        <w:jc w:val="left"/>
        <w:textAlignment w:val="auto"/>
        <w:rPr>
          <w:rFonts w:hint="eastAsia" w:ascii="仿宋" w:hAnsi="仿宋" w:eastAsia="仿宋" w:cs="仿宋"/>
          <w:color w:val="auto"/>
          <w:sz w:val="32"/>
          <w:szCs w:val="32"/>
          <w:highlight w:val="none"/>
          <w:lang w:val="en-US" w:eastAsia="zh-CN"/>
        </w:rPr>
      </w:pPr>
      <w:bookmarkStart w:id="12" w:name="_Toc11787"/>
      <w:r>
        <w:rPr>
          <w:rStyle w:val="11"/>
          <w:rFonts w:hint="eastAsia"/>
          <w:lang w:val="en-US" w:eastAsia="zh-CN"/>
        </w:rPr>
        <w:t>2.申报要求</w:t>
      </w:r>
      <w:bookmarkEnd w:id="12"/>
      <w:r>
        <w:rPr>
          <w:rFonts w:hint="eastAsia" w:ascii="仿宋" w:hAnsi="仿宋" w:eastAsia="仿宋" w:cs="仿宋"/>
          <w:color w:val="auto"/>
          <w:sz w:val="32"/>
          <w:szCs w:val="32"/>
          <w:highlight w:val="none"/>
          <w:lang w:val="en-US" w:eastAsia="zh-CN"/>
        </w:rPr>
        <w:t>。申报时请重点关注以下事项：</w:t>
      </w:r>
    </w:p>
    <w:p w14:paraId="49C226DD">
      <w:pPr>
        <w:keepNext w:val="0"/>
        <w:keepLines w:val="0"/>
        <w:pageBreakBefore w:val="0"/>
        <w:widowControl w:val="0"/>
        <w:numPr>
          <w:ilvl w:val="0"/>
          <w:numId w:val="0"/>
        </w:numPr>
        <w:kinsoku/>
        <w:wordWrap/>
        <w:overflowPunct/>
        <w:topLinePunct w:val="0"/>
        <w:autoSpaceDE/>
        <w:autoSpaceDN/>
        <w:bidi w:val="0"/>
        <w:adjustRightInd/>
        <w:snapToGrid/>
        <w:spacing w:before="120" w:after="120" w:line="288" w:lineRule="auto"/>
        <w:ind w:left="0" w:leftChars="0"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（1）问卷申报时间段为</w:t>
      </w:r>
      <w:r>
        <w:rPr>
          <w:rFonts w:hint="eastAsia" w:ascii="仿宋" w:hAnsi="仿宋" w:eastAsia="仿宋" w:cs="仿宋"/>
          <w:color w:val="auto"/>
          <w:sz w:val="32"/>
          <w:szCs w:val="32"/>
          <w:highlight w:val="none"/>
          <w:u w:val="single"/>
          <w:lang w:val="en-US" w:eastAsia="zh-CN"/>
        </w:rPr>
        <w:t>7月1日至7月25日</w:t>
      </w:r>
      <w:r>
        <w:rPr>
          <w:rFonts w:hint="eastAsia" w:ascii="仿宋" w:hAnsi="仿宋" w:eastAsia="仿宋" w:cs="仿宋"/>
          <w:color w:val="auto"/>
          <w:sz w:val="32"/>
          <w:szCs w:val="32"/>
          <w:highlight w:val="none"/>
          <w:lang w:val="en-US" w:eastAsia="zh-CN"/>
        </w:rPr>
        <w:t>，请提前预留公司内部审批时间，按时提交；</w:t>
      </w:r>
    </w:p>
    <w:p w14:paraId="0A89D6A4">
      <w:pPr>
        <w:keepNext w:val="0"/>
        <w:keepLines w:val="0"/>
        <w:pageBreakBefore w:val="0"/>
        <w:widowControl w:val="0"/>
        <w:numPr>
          <w:ilvl w:val="0"/>
          <w:numId w:val="0"/>
        </w:numPr>
        <w:kinsoku/>
        <w:wordWrap/>
        <w:overflowPunct/>
        <w:topLinePunct w:val="0"/>
        <w:autoSpaceDE/>
        <w:autoSpaceDN/>
        <w:bidi w:val="0"/>
        <w:adjustRightInd/>
        <w:snapToGrid/>
        <w:spacing w:before="120" w:after="120" w:line="288" w:lineRule="auto"/>
        <w:ind w:left="0" w:leftChars="0"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（2）申报内容是数字的，需四舍五入，只保留整数；</w:t>
      </w:r>
    </w:p>
    <w:p w14:paraId="006C4847">
      <w:pPr>
        <w:keepNext w:val="0"/>
        <w:keepLines w:val="0"/>
        <w:pageBreakBefore w:val="0"/>
        <w:widowControl w:val="0"/>
        <w:numPr>
          <w:ilvl w:val="0"/>
          <w:numId w:val="0"/>
        </w:numPr>
        <w:kinsoku/>
        <w:wordWrap/>
        <w:overflowPunct/>
        <w:topLinePunct w:val="0"/>
        <w:autoSpaceDE/>
        <w:autoSpaceDN/>
        <w:bidi w:val="0"/>
        <w:adjustRightInd/>
        <w:snapToGrid/>
        <w:spacing w:before="120" w:after="120" w:line="288" w:lineRule="auto"/>
        <w:ind w:left="0" w:leftChars="0"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（3）申报提示需进一步解释的，请简要说明即可；</w:t>
      </w:r>
    </w:p>
    <w:p w14:paraId="2CDDFBE4">
      <w:pPr>
        <w:keepNext w:val="0"/>
        <w:keepLines w:val="0"/>
        <w:pageBreakBefore w:val="0"/>
        <w:widowControl w:val="0"/>
        <w:numPr>
          <w:ilvl w:val="0"/>
          <w:numId w:val="0"/>
        </w:numPr>
        <w:kinsoku/>
        <w:wordWrap/>
        <w:overflowPunct/>
        <w:topLinePunct w:val="0"/>
        <w:autoSpaceDE/>
        <w:autoSpaceDN/>
        <w:bidi w:val="0"/>
        <w:adjustRightInd/>
        <w:snapToGrid/>
        <w:spacing w:before="120" w:after="120" w:line="288" w:lineRule="auto"/>
        <w:ind w:left="0" w:leftChars="0"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（4）董事会运作创新特色以文章形式体现，建议包含文章名称、主副标题等；</w:t>
      </w:r>
    </w:p>
    <w:p w14:paraId="4476F1B0">
      <w:pPr>
        <w:keepNext w:val="0"/>
        <w:keepLines w:val="0"/>
        <w:pageBreakBefore w:val="0"/>
        <w:widowControl w:val="0"/>
        <w:numPr>
          <w:ilvl w:val="0"/>
          <w:numId w:val="0"/>
        </w:numPr>
        <w:kinsoku/>
        <w:wordWrap/>
        <w:overflowPunct/>
        <w:topLinePunct w:val="0"/>
        <w:autoSpaceDE/>
        <w:autoSpaceDN/>
        <w:bidi w:val="0"/>
        <w:adjustRightInd/>
        <w:snapToGrid/>
        <w:spacing w:before="120" w:after="120" w:line="288" w:lineRule="auto"/>
        <w:ind w:left="0" w:leftChars="0"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（5）申报中可点击“暂存”保留已申报内容；</w:t>
      </w:r>
    </w:p>
    <w:p w14:paraId="34DE586A">
      <w:pPr>
        <w:keepNext w:val="0"/>
        <w:keepLines w:val="0"/>
        <w:pageBreakBefore w:val="0"/>
        <w:widowControl w:val="0"/>
        <w:numPr>
          <w:ilvl w:val="0"/>
          <w:numId w:val="0"/>
        </w:numPr>
        <w:kinsoku/>
        <w:wordWrap/>
        <w:overflowPunct/>
        <w:topLinePunct w:val="0"/>
        <w:autoSpaceDE/>
        <w:autoSpaceDN/>
        <w:bidi w:val="0"/>
        <w:adjustRightInd/>
        <w:snapToGrid/>
        <w:spacing w:before="120" w:after="120" w:line="288" w:lineRule="auto"/>
        <w:ind w:left="0" w:leftChars="0" w:firstLine="640" w:firstLineChars="200"/>
        <w:jc w:val="left"/>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（6）确认内容无误后，点击“提交”，若申报内容有遗漏则无法提交，请按照系统红字提示进行补充完善。提交后不可修改。</w:t>
      </w:r>
    </w:p>
    <w:p w14:paraId="2EAFF935">
      <w:pPr>
        <w:pStyle w:val="2"/>
        <w:numPr>
          <w:ilvl w:val="0"/>
          <w:numId w:val="0"/>
        </w:numPr>
        <w:ind w:leftChars="0"/>
        <w:jc w:val="center"/>
        <w:rPr>
          <w:rFonts w:hint="default"/>
          <w:lang w:val="en-US" w:eastAsia="zh-CN"/>
        </w:rPr>
      </w:pPr>
      <w:r>
        <w:rPr>
          <w:rFonts w:hint="default"/>
          <w:lang w:val="en-US" w:eastAsia="zh-CN"/>
        </w:rPr>
        <w:drawing>
          <wp:inline distT="0" distB="0" distL="114300" distR="114300">
            <wp:extent cx="4780280" cy="3750945"/>
            <wp:effectExtent l="0" t="0" r="1270" b="1905"/>
            <wp:docPr id="22" name="图片 22" descr="问卷申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问卷申报2"/>
                    <pic:cNvPicPr>
                      <a:picLocks noChangeAspect="1"/>
                    </pic:cNvPicPr>
                  </pic:nvPicPr>
                  <pic:blipFill>
                    <a:blip r:embed="rId15"/>
                    <a:stretch>
                      <a:fillRect/>
                    </a:stretch>
                  </pic:blipFill>
                  <pic:spPr>
                    <a:xfrm>
                      <a:off x="0" y="0"/>
                      <a:ext cx="4780280" cy="3750945"/>
                    </a:xfrm>
                    <a:prstGeom prst="rect">
                      <a:avLst/>
                    </a:prstGeom>
                  </pic:spPr>
                </pic:pic>
              </a:graphicData>
            </a:graphic>
          </wp:inline>
        </w:drawing>
      </w:r>
    </w:p>
    <w:p w14:paraId="06FE27D6">
      <w:pPr>
        <w:keepNext w:val="0"/>
        <w:keepLines w:val="0"/>
        <w:pageBreakBefore w:val="0"/>
        <w:widowControl w:val="0"/>
        <w:numPr>
          <w:ilvl w:val="0"/>
          <w:numId w:val="0"/>
        </w:numPr>
        <w:kinsoku/>
        <w:wordWrap/>
        <w:overflowPunct/>
        <w:topLinePunct w:val="0"/>
        <w:autoSpaceDE/>
        <w:autoSpaceDN/>
        <w:bidi w:val="0"/>
        <w:adjustRightInd/>
        <w:snapToGrid/>
        <w:spacing w:before="120" w:after="120" w:line="288" w:lineRule="auto"/>
        <w:ind w:left="0" w:leftChars="0" w:firstLine="643" w:firstLineChars="200"/>
        <w:jc w:val="left"/>
        <w:textAlignment w:val="auto"/>
        <w:rPr>
          <w:rFonts w:hint="eastAsia" w:ascii="仿宋" w:hAnsi="仿宋" w:eastAsia="仿宋" w:cs="仿宋"/>
          <w:color w:val="auto"/>
          <w:sz w:val="32"/>
          <w:szCs w:val="32"/>
          <w:highlight w:val="none"/>
          <w:lang w:val="en-US" w:eastAsia="zh-CN"/>
        </w:rPr>
      </w:pPr>
      <w:bookmarkStart w:id="13" w:name="_Toc2250"/>
      <w:r>
        <w:rPr>
          <w:rStyle w:val="11"/>
          <w:rFonts w:hint="eastAsia"/>
          <w:lang w:val="en-US" w:eastAsia="zh-CN"/>
        </w:rPr>
        <w:t>3.问卷状态</w:t>
      </w:r>
      <w:bookmarkEnd w:id="13"/>
      <w:r>
        <w:rPr>
          <w:rFonts w:hint="eastAsia" w:ascii="仿宋" w:hAnsi="仿宋" w:eastAsia="仿宋" w:cs="仿宋"/>
          <w:color w:val="auto"/>
          <w:sz w:val="32"/>
          <w:szCs w:val="32"/>
          <w:highlight w:val="none"/>
          <w:lang w:val="en-US" w:eastAsia="zh-CN"/>
        </w:rPr>
        <w:t>。用户提交问卷后，可在【问卷管理】—【已填报问卷】中查看问卷状态。问卷状态如下：</w:t>
      </w:r>
    </w:p>
    <w:p w14:paraId="2F8FF779">
      <w:pPr>
        <w:keepNext w:val="0"/>
        <w:keepLines w:val="0"/>
        <w:pageBreakBefore w:val="0"/>
        <w:widowControl w:val="0"/>
        <w:numPr>
          <w:ilvl w:val="0"/>
          <w:numId w:val="0"/>
        </w:numPr>
        <w:kinsoku/>
        <w:wordWrap/>
        <w:overflowPunct/>
        <w:topLinePunct w:val="0"/>
        <w:autoSpaceDE/>
        <w:autoSpaceDN/>
        <w:bidi w:val="0"/>
        <w:adjustRightInd/>
        <w:snapToGrid/>
        <w:spacing w:before="120" w:after="120" w:line="288" w:lineRule="auto"/>
        <w:ind w:left="0" w:leftChars="0"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（1）待审核：协会人员尚未对问卷进行审核；</w:t>
      </w:r>
    </w:p>
    <w:p w14:paraId="6F3F6367">
      <w:pPr>
        <w:keepNext w:val="0"/>
        <w:keepLines w:val="0"/>
        <w:pageBreakBefore w:val="0"/>
        <w:widowControl w:val="0"/>
        <w:numPr>
          <w:ilvl w:val="0"/>
          <w:numId w:val="0"/>
        </w:numPr>
        <w:kinsoku/>
        <w:wordWrap/>
        <w:overflowPunct/>
        <w:topLinePunct w:val="0"/>
        <w:autoSpaceDE/>
        <w:autoSpaceDN/>
        <w:bidi w:val="0"/>
        <w:adjustRightInd/>
        <w:snapToGrid/>
        <w:spacing w:before="120" w:after="120" w:line="288" w:lineRule="auto"/>
        <w:ind w:left="0" w:leftChars="0"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（2）审核驳回：协会人员审核后，认为问卷内容需补充完善，请查看审核备注，点击“重新提交”对相关内容进行修改，并重新提交；</w:t>
      </w:r>
    </w:p>
    <w:p w14:paraId="556782C0">
      <w:pPr>
        <w:keepNext w:val="0"/>
        <w:keepLines w:val="0"/>
        <w:pageBreakBefore w:val="0"/>
        <w:widowControl w:val="0"/>
        <w:numPr>
          <w:ilvl w:val="0"/>
          <w:numId w:val="0"/>
        </w:numPr>
        <w:kinsoku/>
        <w:wordWrap/>
        <w:overflowPunct/>
        <w:topLinePunct w:val="0"/>
        <w:autoSpaceDE/>
        <w:autoSpaceDN/>
        <w:bidi w:val="0"/>
        <w:adjustRightInd/>
        <w:snapToGrid/>
        <w:spacing w:before="120" w:after="120" w:line="288" w:lineRule="auto"/>
        <w:ind w:left="0" w:leftChars="0"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（3）打分中：协会初审通过，未完成专家打分；</w:t>
      </w:r>
    </w:p>
    <w:p w14:paraId="5CC21EBA">
      <w:pPr>
        <w:keepNext w:val="0"/>
        <w:keepLines w:val="0"/>
        <w:pageBreakBefore w:val="0"/>
        <w:widowControl w:val="0"/>
        <w:numPr>
          <w:ilvl w:val="0"/>
          <w:numId w:val="0"/>
        </w:numPr>
        <w:kinsoku/>
        <w:wordWrap/>
        <w:overflowPunct/>
        <w:topLinePunct w:val="0"/>
        <w:autoSpaceDE/>
        <w:autoSpaceDN/>
        <w:bidi w:val="0"/>
        <w:adjustRightInd/>
        <w:snapToGrid/>
        <w:spacing w:before="120" w:after="120" w:line="288" w:lineRule="auto"/>
        <w:ind w:left="0" w:leftChars="0"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（4）待评级：已完成专家打分，未完成评级；</w:t>
      </w:r>
    </w:p>
    <w:p w14:paraId="77940336">
      <w:pPr>
        <w:keepNext w:val="0"/>
        <w:keepLines w:val="0"/>
        <w:pageBreakBefore w:val="0"/>
        <w:widowControl w:val="0"/>
        <w:numPr>
          <w:ilvl w:val="0"/>
          <w:numId w:val="0"/>
        </w:numPr>
        <w:kinsoku/>
        <w:wordWrap/>
        <w:overflowPunct/>
        <w:topLinePunct w:val="0"/>
        <w:autoSpaceDE/>
        <w:autoSpaceDN/>
        <w:bidi w:val="0"/>
        <w:adjustRightInd/>
        <w:snapToGrid/>
        <w:spacing w:before="120" w:after="120" w:line="288" w:lineRule="auto"/>
        <w:ind w:left="0" w:leftChars="0"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（5）待发证：已完成申报结果确认，尚未发放电子证书。评价结果可在相关问卷的“评级”中显示；</w:t>
      </w:r>
    </w:p>
    <w:p w14:paraId="5AD558E8">
      <w:pPr>
        <w:keepNext w:val="0"/>
        <w:keepLines w:val="0"/>
        <w:pageBreakBefore w:val="0"/>
        <w:widowControl w:val="0"/>
        <w:numPr>
          <w:ilvl w:val="0"/>
          <w:numId w:val="0"/>
        </w:numPr>
        <w:kinsoku/>
        <w:wordWrap/>
        <w:overflowPunct/>
        <w:topLinePunct w:val="0"/>
        <w:autoSpaceDE/>
        <w:autoSpaceDN/>
        <w:bidi w:val="0"/>
        <w:adjustRightInd/>
        <w:snapToGrid/>
        <w:spacing w:before="120" w:after="120" w:line="288" w:lineRule="auto"/>
        <w:ind w:left="0" w:leftChars="0" w:firstLine="640" w:firstLineChars="200"/>
        <w:jc w:val="left"/>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（6）已完成：年度申报整体流程结束，获得评级的用户可点击“查看证书”下载电子证书。</w:t>
      </w:r>
    </w:p>
    <w:p w14:paraId="488AC5B3">
      <w:pPr>
        <w:pStyle w:val="2"/>
        <w:numPr>
          <w:ilvl w:val="0"/>
          <w:numId w:val="0"/>
        </w:numPr>
        <w:ind w:leftChars="0"/>
        <w:jc w:val="center"/>
        <w:rPr>
          <w:rFonts w:hint="default"/>
          <w:lang w:val="en-US" w:eastAsia="zh-CN"/>
        </w:rPr>
      </w:pPr>
      <w:r>
        <w:rPr>
          <w:rFonts w:hint="default"/>
          <w:lang w:val="en-US" w:eastAsia="zh-CN"/>
        </w:rPr>
        <w:drawing>
          <wp:inline distT="0" distB="0" distL="114300" distR="114300">
            <wp:extent cx="5266690" cy="1483995"/>
            <wp:effectExtent l="0" t="0" r="10160" b="1905"/>
            <wp:docPr id="24" name="图片 24" descr="问卷状态-已完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问卷状态-已完成"/>
                    <pic:cNvPicPr>
                      <a:picLocks noChangeAspect="1"/>
                    </pic:cNvPicPr>
                  </pic:nvPicPr>
                  <pic:blipFill>
                    <a:blip r:embed="rId16"/>
                    <a:stretch>
                      <a:fillRect/>
                    </a:stretch>
                  </pic:blipFill>
                  <pic:spPr>
                    <a:xfrm>
                      <a:off x="0" y="0"/>
                      <a:ext cx="5266690" cy="1483995"/>
                    </a:xfrm>
                    <a:prstGeom prst="rect">
                      <a:avLst/>
                    </a:prstGeom>
                  </pic:spPr>
                </pic:pic>
              </a:graphicData>
            </a:graphic>
          </wp:inline>
        </w:drawing>
      </w:r>
    </w:p>
    <w:p w14:paraId="641EA5D6"/>
    <w:p w14:paraId="1C807619">
      <w:pPr>
        <w:pStyle w:val="2"/>
      </w:pPr>
    </w:p>
    <w:p w14:paraId="7C6BDA25">
      <w:pPr>
        <w:sectPr>
          <w:footerReference r:id="rId4" w:type="default"/>
          <w:pgSz w:w="11906" w:h="16838"/>
          <w:pgMar w:top="1440" w:right="1800" w:bottom="1440" w:left="1800" w:header="851" w:footer="992" w:gutter="0"/>
          <w:pgNumType w:fmt="numberInDash" w:start="1"/>
          <w:cols w:space="425" w:num="1"/>
          <w:docGrid w:type="lines" w:linePitch="312" w:charSpace="0"/>
        </w:sectPr>
      </w:pPr>
    </w:p>
    <w:p w14:paraId="6973BAB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w w:val="100"/>
          <w:sz w:val="32"/>
          <w:szCs w:val="32"/>
          <w:lang w:val="en-US" w:eastAsia="zh-CN"/>
        </w:rPr>
      </w:pPr>
      <w:r>
        <w:rPr>
          <w:rFonts w:hint="eastAsia" w:ascii="仿宋" w:hAnsi="仿宋" w:eastAsia="仿宋" w:cs="仿宋"/>
          <w:w w:val="100"/>
          <w:sz w:val="32"/>
          <w:szCs w:val="32"/>
          <w:lang w:val="en-US" w:eastAsia="zh-CN"/>
        </w:rPr>
        <w:t>附件二</w:t>
      </w:r>
    </w:p>
    <w:p w14:paraId="11259D4E">
      <w:pPr>
        <w:keepNext w:val="0"/>
        <w:keepLines w:val="0"/>
        <w:pageBreakBefore w:val="0"/>
        <w:widowControl w:val="0"/>
        <w:kinsoku/>
        <w:wordWrap/>
        <w:overflowPunct/>
        <w:topLinePunct w:val="0"/>
        <w:autoSpaceDE/>
        <w:autoSpaceDN/>
        <w:bidi w:val="0"/>
        <w:adjustRightInd/>
        <w:snapToGrid/>
        <w:spacing w:before="157" w:beforeLines="50" w:line="560" w:lineRule="exact"/>
        <w:jc w:val="center"/>
        <w:textAlignment w:val="auto"/>
        <w:rPr>
          <w:rFonts w:hint="default" w:ascii="方正小标宋简体" w:hAnsi="方正小标宋简体" w:eastAsia="方正小标宋简体" w:cs="方正小标宋简体"/>
          <w:w w:val="100"/>
          <w:sz w:val="44"/>
          <w:szCs w:val="44"/>
          <w:lang w:val="en-US" w:eastAsia="zh-CN"/>
        </w:rPr>
      </w:pPr>
      <w:r>
        <w:rPr>
          <w:rFonts w:hint="eastAsia" w:ascii="方正小标宋简体" w:hAnsi="方正小标宋简体" w:eastAsia="方正小标宋简体" w:cs="方正小标宋简体"/>
          <w:w w:val="100"/>
          <w:sz w:val="44"/>
          <w:szCs w:val="44"/>
          <w:lang w:val="en-US" w:eastAsia="zh-CN"/>
        </w:rPr>
        <w:t>2025上市公司董事会最佳实践案例征集活动申报信息表</w:t>
      </w:r>
    </w:p>
    <w:p w14:paraId="12CDEA9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 w:hAnsi="仿宋" w:eastAsia="仿宋" w:cs="仿宋"/>
          <w:sz w:val="32"/>
          <w:szCs w:val="32"/>
          <w:lang w:val="en-US" w:eastAsia="zh-CN"/>
        </w:rPr>
      </w:pPr>
    </w:p>
    <w:p w14:paraId="2F96D6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为方便数据统计和内容填写，现将申报内容word版附上，供各上市公司预填写。请于2025年</w:t>
      </w:r>
      <w:r>
        <w:rPr>
          <w:rFonts w:hint="eastAsia" w:ascii="仿宋" w:hAnsi="仿宋" w:eastAsia="仿宋" w:cs="仿宋"/>
          <w:sz w:val="32"/>
          <w:szCs w:val="32"/>
          <w:highlight w:val="none"/>
          <w:lang w:val="en-US" w:eastAsia="zh-CN"/>
        </w:rPr>
        <w:t>7月25日</w:t>
      </w:r>
      <w:r>
        <w:rPr>
          <w:rFonts w:hint="eastAsia" w:ascii="仿宋" w:hAnsi="仿宋" w:eastAsia="仿宋" w:cs="仿宋"/>
          <w:sz w:val="32"/>
          <w:szCs w:val="32"/>
          <w:lang w:val="en-US" w:eastAsia="zh-CN"/>
        </w:rPr>
        <w:t>前登录申报网站https://xxptwy.capco.org.cn/进行申报。感谢支持！</w:t>
      </w:r>
    </w:p>
    <w:p w14:paraId="1A5024EE"/>
    <w:tbl>
      <w:tblPr>
        <w:tblStyle w:val="8"/>
        <w:tblW w:w="143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48"/>
        <w:gridCol w:w="1527"/>
        <w:gridCol w:w="4355"/>
        <w:gridCol w:w="4752"/>
        <w:gridCol w:w="2451"/>
      </w:tblGrid>
      <w:tr w14:paraId="68952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 w:hRule="atLeast"/>
          <w:jc w:val="center"/>
        </w:trPr>
        <w:tc>
          <w:tcPr>
            <w:tcW w:w="1248" w:type="dxa"/>
            <w:noWrap w:val="0"/>
            <w:tcMar>
              <w:top w:w="12" w:type="dxa"/>
              <w:left w:w="12" w:type="dxa"/>
              <w:right w:w="12" w:type="dxa"/>
            </w:tcMar>
            <w:vAlign w:val="center"/>
          </w:tcPr>
          <w:p w14:paraId="721BE1D5">
            <w:pPr>
              <w:keepNext w:val="0"/>
              <w:keepLines w:val="0"/>
              <w:widowControl/>
              <w:suppressLineNumbers w:val="0"/>
              <w:jc w:val="center"/>
              <w:textAlignment w:val="center"/>
              <w:rPr>
                <w:rFonts w:hint="eastAsia" w:ascii="黑体" w:hAnsi="黑体" w:eastAsia="黑体" w:cs="黑体"/>
                <w:b w:val="0"/>
                <w:bCs/>
                <w:i w:val="0"/>
                <w:color w:val="auto"/>
                <w:sz w:val="24"/>
                <w:szCs w:val="24"/>
                <w:highlight w:val="none"/>
                <w:u w:val="none"/>
              </w:rPr>
            </w:pPr>
            <w:r>
              <w:rPr>
                <w:rFonts w:hint="eastAsia" w:ascii="黑体" w:hAnsi="黑体" w:eastAsia="黑体" w:cs="黑体"/>
                <w:b w:val="0"/>
                <w:bCs/>
                <w:i w:val="0"/>
                <w:color w:val="auto"/>
                <w:kern w:val="0"/>
                <w:sz w:val="24"/>
                <w:szCs w:val="24"/>
                <w:highlight w:val="none"/>
                <w:u w:val="none"/>
                <w:lang w:val="en-US" w:eastAsia="zh-CN" w:bidi="ar"/>
              </w:rPr>
              <w:t>项目</w:t>
            </w:r>
          </w:p>
        </w:tc>
        <w:tc>
          <w:tcPr>
            <w:tcW w:w="1527" w:type="dxa"/>
            <w:noWrap w:val="0"/>
            <w:tcMar>
              <w:top w:w="12" w:type="dxa"/>
              <w:left w:w="12" w:type="dxa"/>
              <w:right w:w="12" w:type="dxa"/>
            </w:tcMar>
            <w:vAlign w:val="center"/>
          </w:tcPr>
          <w:p w14:paraId="42A5C68A">
            <w:pPr>
              <w:keepNext w:val="0"/>
              <w:keepLines w:val="0"/>
              <w:widowControl/>
              <w:suppressLineNumbers w:val="0"/>
              <w:jc w:val="center"/>
              <w:textAlignment w:val="center"/>
              <w:rPr>
                <w:rFonts w:hint="eastAsia" w:ascii="黑体" w:hAnsi="黑体" w:eastAsia="黑体" w:cs="黑体"/>
                <w:b w:val="0"/>
                <w:bCs/>
                <w:i w:val="0"/>
                <w:color w:val="auto"/>
                <w:sz w:val="24"/>
                <w:szCs w:val="24"/>
                <w:highlight w:val="none"/>
                <w:u w:val="none"/>
              </w:rPr>
            </w:pPr>
            <w:r>
              <w:rPr>
                <w:rFonts w:hint="eastAsia" w:ascii="黑体" w:hAnsi="黑体" w:eastAsia="黑体" w:cs="黑体"/>
                <w:b w:val="0"/>
                <w:bCs/>
                <w:i w:val="0"/>
                <w:color w:val="auto"/>
                <w:kern w:val="0"/>
                <w:sz w:val="24"/>
                <w:szCs w:val="24"/>
                <w:highlight w:val="none"/>
                <w:u w:val="none"/>
                <w:lang w:val="en-US" w:eastAsia="zh-CN" w:bidi="ar"/>
              </w:rPr>
              <w:t>内容</w:t>
            </w:r>
          </w:p>
        </w:tc>
        <w:tc>
          <w:tcPr>
            <w:tcW w:w="4355" w:type="dxa"/>
            <w:noWrap w:val="0"/>
            <w:tcMar>
              <w:top w:w="12" w:type="dxa"/>
              <w:left w:w="12" w:type="dxa"/>
              <w:right w:w="12" w:type="dxa"/>
            </w:tcMar>
            <w:vAlign w:val="center"/>
          </w:tcPr>
          <w:p w14:paraId="72BB28A0">
            <w:pPr>
              <w:keepNext w:val="0"/>
              <w:keepLines w:val="0"/>
              <w:widowControl/>
              <w:suppressLineNumbers w:val="0"/>
              <w:jc w:val="center"/>
              <w:textAlignment w:val="center"/>
              <w:rPr>
                <w:rFonts w:hint="eastAsia" w:ascii="黑体" w:hAnsi="黑体" w:eastAsia="黑体" w:cs="黑体"/>
                <w:b w:val="0"/>
                <w:bCs/>
                <w:i w:val="0"/>
                <w:color w:val="auto"/>
                <w:sz w:val="24"/>
                <w:szCs w:val="24"/>
                <w:highlight w:val="none"/>
                <w:u w:val="none"/>
              </w:rPr>
            </w:pPr>
            <w:r>
              <w:rPr>
                <w:rFonts w:hint="eastAsia" w:ascii="黑体" w:hAnsi="黑体" w:eastAsia="黑体" w:cs="黑体"/>
                <w:b w:val="0"/>
                <w:bCs/>
                <w:i w:val="0"/>
                <w:color w:val="auto"/>
                <w:kern w:val="0"/>
                <w:sz w:val="24"/>
                <w:szCs w:val="24"/>
                <w:highlight w:val="none"/>
                <w:u w:val="none"/>
                <w:lang w:val="en-US" w:eastAsia="zh-CN" w:bidi="ar"/>
              </w:rPr>
              <w:t>申报要点</w:t>
            </w:r>
          </w:p>
        </w:tc>
        <w:tc>
          <w:tcPr>
            <w:tcW w:w="4752" w:type="dxa"/>
            <w:noWrap w:val="0"/>
            <w:tcMar>
              <w:top w:w="12" w:type="dxa"/>
              <w:left w:w="12" w:type="dxa"/>
              <w:right w:w="12" w:type="dxa"/>
            </w:tcMar>
            <w:vAlign w:val="center"/>
          </w:tcPr>
          <w:p w14:paraId="0243849D">
            <w:pPr>
              <w:keepNext w:val="0"/>
              <w:keepLines w:val="0"/>
              <w:widowControl/>
              <w:suppressLineNumbers w:val="0"/>
              <w:jc w:val="center"/>
              <w:textAlignment w:val="center"/>
              <w:rPr>
                <w:rFonts w:hint="eastAsia" w:ascii="黑体" w:hAnsi="黑体" w:eastAsia="黑体" w:cs="黑体"/>
                <w:b w:val="0"/>
                <w:bCs/>
                <w:i w:val="0"/>
                <w:color w:val="auto"/>
                <w:sz w:val="24"/>
                <w:szCs w:val="24"/>
                <w:highlight w:val="none"/>
                <w:u w:val="none"/>
              </w:rPr>
            </w:pPr>
            <w:r>
              <w:rPr>
                <w:rFonts w:hint="eastAsia" w:ascii="黑体" w:hAnsi="黑体" w:eastAsia="黑体" w:cs="黑体"/>
                <w:b w:val="0"/>
                <w:bCs/>
                <w:i w:val="0"/>
                <w:color w:val="auto"/>
                <w:kern w:val="0"/>
                <w:sz w:val="24"/>
                <w:szCs w:val="24"/>
                <w:highlight w:val="none"/>
                <w:u w:val="none"/>
                <w:lang w:val="en-US" w:eastAsia="zh-CN" w:bidi="ar"/>
              </w:rPr>
              <w:t>信息填报要求</w:t>
            </w:r>
          </w:p>
        </w:tc>
        <w:tc>
          <w:tcPr>
            <w:tcW w:w="2451" w:type="dxa"/>
            <w:noWrap w:val="0"/>
            <w:tcMar>
              <w:top w:w="12" w:type="dxa"/>
              <w:left w:w="12" w:type="dxa"/>
              <w:right w:w="12" w:type="dxa"/>
            </w:tcMar>
            <w:vAlign w:val="center"/>
          </w:tcPr>
          <w:p w14:paraId="1FC3E97C">
            <w:pPr>
              <w:keepNext w:val="0"/>
              <w:keepLines w:val="0"/>
              <w:widowControl/>
              <w:suppressLineNumbers w:val="0"/>
              <w:jc w:val="center"/>
              <w:textAlignment w:val="center"/>
              <w:rPr>
                <w:rFonts w:hint="default" w:ascii="黑体" w:hAnsi="黑体" w:eastAsia="黑体" w:cs="黑体"/>
                <w:b w:val="0"/>
                <w:bCs/>
                <w:i w:val="0"/>
                <w:color w:val="auto"/>
                <w:sz w:val="24"/>
                <w:szCs w:val="24"/>
                <w:highlight w:val="none"/>
                <w:u w:val="none"/>
                <w:lang w:val="en-US"/>
              </w:rPr>
            </w:pPr>
            <w:r>
              <w:rPr>
                <w:rFonts w:hint="eastAsia" w:ascii="黑体" w:hAnsi="黑体" w:eastAsia="黑体" w:cs="黑体"/>
                <w:b w:val="0"/>
                <w:bCs/>
                <w:i w:val="0"/>
                <w:color w:val="auto"/>
                <w:kern w:val="0"/>
                <w:sz w:val="24"/>
                <w:szCs w:val="24"/>
                <w:highlight w:val="none"/>
                <w:u w:val="none"/>
                <w:lang w:val="en-US" w:eastAsia="zh-CN" w:bidi="ar"/>
              </w:rPr>
              <w:t>公司申报内容</w:t>
            </w:r>
          </w:p>
        </w:tc>
      </w:tr>
      <w:tr w14:paraId="5EF6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jc w:val="center"/>
        </w:trPr>
        <w:tc>
          <w:tcPr>
            <w:tcW w:w="1248" w:type="dxa"/>
            <w:vMerge w:val="restart"/>
            <w:noWrap w:val="0"/>
            <w:tcMar>
              <w:top w:w="12" w:type="dxa"/>
              <w:left w:w="12" w:type="dxa"/>
              <w:right w:w="12" w:type="dxa"/>
            </w:tcMar>
            <w:vAlign w:val="center"/>
          </w:tcPr>
          <w:p w14:paraId="1A3F9954">
            <w:pPr>
              <w:keepNext w:val="0"/>
              <w:keepLines w:val="0"/>
              <w:widowControl/>
              <w:suppressLineNumbers w:val="0"/>
              <w:jc w:val="center"/>
              <w:textAlignment w:val="center"/>
              <w:rPr>
                <w:rFonts w:hint="eastAsia" w:ascii="仿宋" w:hAnsi="仿宋" w:eastAsia="仿宋" w:cs="仿宋"/>
                <w:b/>
                <w:bCs w:val="0"/>
                <w:i w:val="0"/>
                <w:color w:val="auto"/>
                <w:sz w:val="18"/>
                <w:szCs w:val="18"/>
                <w:highlight w:val="none"/>
                <w:u w:val="none"/>
              </w:rPr>
            </w:pPr>
            <w:r>
              <w:rPr>
                <w:rFonts w:hint="eastAsia" w:ascii="仿宋" w:hAnsi="仿宋" w:eastAsia="仿宋" w:cs="仿宋"/>
                <w:b/>
                <w:bCs w:val="0"/>
                <w:i w:val="0"/>
                <w:color w:val="auto"/>
                <w:kern w:val="0"/>
                <w:sz w:val="18"/>
                <w:szCs w:val="18"/>
                <w:highlight w:val="none"/>
                <w:u w:val="none"/>
                <w:lang w:val="en-US" w:eastAsia="zh-CN" w:bidi="ar"/>
              </w:rPr>
              <w:t>公司基本情况</w:t>
            </w:r>
          </w:p>
        </w:tc>
        <w:tc>
          <w:tcPr>
            <w:tcW w:w="1527" w:type="dxa"/>
            <w:vMerge w:val="restart"/>
            <w:noWrap w:val="0"/>
            <w:tcMar>
              <w:top w:w="12" w:type="dxa"/>
              <w:left w:w="12" w:type="dxa"/>
              <w:right w:w="12" w:type="dxa"/>
            </w:tcMar>
            <w:vAlign w:val="center"/>
          </w:tcPr>
          <w:p w14:paraId="58DF06BF">
            <w:pPr>
              <w:keepNext w:val="0"/>
              <w:keepLines w:val="0"/>
              <w:widowControl/>
              <w:suppressLineNumbers w:val="0"/>
              <w:jc w:val="center"/>
              <w:textAlignment w:val="center"/>
              <w:rPr>
                <w:rFonts w:hint="eastAsia" w:ascii="仿宋" w:hAnsi="仿宋" w:eastAsia="仿宋" w:cs="仿宋"/>
                <w:b/>
                <w:bCs w:val="0"/>
                <w:i w:val="0"/>
                <w:color w:val="auto"/>
                <w:sz w:val="18"/>
                <w:szCs w:val="18"/>
                <w:highlight w:val="none"/>
                <w:u w:val="none"/>
              </w:rPr>
            </w:pPr>
            <w:r>
              <w:rPr>
                <w:rFonts w:hint="eastAsia" w:ascii="仿宋" w:hAnsi="仿宋" w:eastAsia="仿宋" w:cs="仿宋"/>
                <w:b/>
                <w:bCs w:val="0"/>
                <w:i w:val="0"/>
                <w:color w:val="auto"/>
                <w:kern w:val="0"/>
                <w:sz w:val="18"/>
                <w:szCs w:val="18"/>
                <w:highlight w:val="none"/>
                <w:u w:val="none"/>
                <w:lang w:val="en-US" w:eastAsia="zh-CN" w:bidi="ar"/>
              </w:rPr>
              <w:t>公司基本情况</w:t>
            </w:r>
          </w:p>
        </w:tc>
        <w:tc>
          <w:tcPr>
            <w:tcW w:w="4355" w:type="dxa"/>
            <w:noWrap w:val="0"/>
            <w:tcMar>
              <w:top w:w="12" w:type="dxa"/>
              <w:left w:w="12" w:type="dxa"/>
              <w:right w:w="12" w:type="dxa"/>
            </w:tcMar>
            <w:vAlign w:val="center"/>
          </w:tcPr>
          <w:p w14:paraId="7DFCEC7A">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公司简称</w:t>
            </w:r>
          </w:p>
        </w:tc>
        <w:tc>
          <w:tcPr>
            <w:tcW w:w="4752" w:type="dxa"/>
            <w:noWrap w:val="0"/>
            <w:tcMar>
              <w:top w:w="12" w:type="dxa"/>
              <w:left w:w="12" w:type="dxa"/>
              <w:right w:w="12" w:type="dxa"/>
            </w:tcMar>
            <w:vAlign w:val="center"/>
          </w:tcPr>
          <w:p w14:paraId="36268D65">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填写公司简称。</w:t>
            </w:r>
          </w:p>
        </w:tc>
        <w:tc>
          <w:tcPr>
            <w:tcW w:w="2451" w:type="dxa"/>
            <w:noWrap w:val="0"/>
            <w:tcMar>
              <w:top w:w="12" w:type="dxa"/>
              <w:left w:w="12" w:type="dxa"/>
              <w:right w:w="12" w:type="dxa"/>
            </w:tcMar>
            <w:vAlign w:val="center"/>
          </w:tcPr>
          <w:p w14:paraId="4E22514C">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45646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jc w:val="center"/>
        </w:trPr>
        <w:tc>
          <w:tcPr>
            <w:tcW w:w="1248" w:type="dxa"/>
            <w:vMerge w:val="continue"/>
            <w:noWrap w:val="0"/>
            <w:tcMar>
              <w:top w:w="12" w:type="dxa"/>
              <w:left w:w="12" w:type="dxa"/>
              <w:right w:w="12" w:type="dxa"/>
            </w:tcMar>
            <w:vAlign w:val="center"/>
          </w:tcPr>
          <w:p w14:paraId="1A92D335">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670AA01E">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18E462EE">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股票代码</w:t>
            </w:r>
          </w:p>
        </w:tc>
        <w:tc>
          <w:tcPr>
            <w:tcW w:w="4752" w:type="dxa"/>
            <w:noWrap w:val="0"/>
            <w:tcMar>
              <w:top w:w="12" w:type="dxa"/>
              <w:left w:w="12" w:type="dxa"/>
              <w:right w:w="12" w:type="dxa"/>
            </w:tcMar>
            <w:vAlign w:val="center"/>
          </w:tcPr>
          <w:p w14:paraId="63EFE930">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填写公司股票代码，股票代码前无需添加交易所英文简称。</w:t>
            </w:r>
          </w:p>
        </w:tc>
        <w:tc>
          <w:tcPr>
            <w:tcW w:w="2451" w:type="dxa"/>
            <w:noWrap w:val="0"/>
            <w:tcMar>
              <w:top w:w="12" w:type="dxa"/>
              <w:left w:w="12" w:type="dxa"/>
              <w:right w:w="12" w:type="dxa"/>
            </w:tcMar>
            <w:vAlign w:val="center"/>
          </w:tcPr>
          <w:p w14:paraId="6A90C59D">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0EA5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jc w:val="center"/>
        </w:trPr>
        <w:tc>
          <w:tcPr>
            <w:tcW w:w="1248" w:type="dxa"/>
            <w:vMerge w:val="continue"/>
            <w:noWrap w:val="0"/>
            <w:tcMar>
              <w:top w:w="12" w:type="dxa"/>
              <w:left w:w="12" w:type="dxa"/>
              <w:right w:w="12" w:type="dxa"/>
            </w:tcMar>
            <w:vAlign w:val="center"/>
          </w:tcPr>
          <w:p w14:paraId="7669058F">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1A87C2F3">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62E05E9F">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企业性质</w:t>
            </w:r>
          </w:p>
        </w:tc>
        <w:tc>
          <w:tcPr>
            <w:tcW w:w="4752" w:type="dxa"/>
            <w:noWrap w:val="0"/>
            <w:tcMar>
              <w:top w:w="12" w:type="dxa"/>
              <w:left w:w="12" w:type="dxa"/>
              <w:right w:w="12" w:type="dxa"/>
            </w:tcMar>
            <w:vAlign w:val="center"/>
          </w:tcPr>
          <w:p w14:paraId="28469526">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填写中央国有企业、地方国有企业、民营企业、其他性质企业等。</w:t>
            </w:r>
          </w:p>
        </w:tc>
        <w:tc>
          <w:tcPr>
            <w:tcW w:w="2451" w:type="dxa"/>
            <w:noWrap w:val="0"/>
            <w:tcMar>
              <w:top w:w="12" w:type="dxa"/>
              <w:left w:w="12" w:type="dxa"/>
              <w:right w:w="12" w:type="dxa"/>
            </w:tcMar>
            <w:vAlign w:val="center"/>
          </w:tcPr>
          <w:p w14:paraId="54FE18F2">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0B8B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jc w:val="center"/>
        </w:trPr>
        <w:tc>
          <w:tcPr>
            <w:tcW w:w="1248" w:type="dxa"/>
            <w:vMerge w:val="continue"/>
            <w:noWrap w:val="0"/>
            <w:tcMar>
              <w:top w:w="12" w:type="dxa"/>
              <w:left w:w="12" w:type="dxa"/>
              <w:right w:w="12" w:type="dxa"/>
            </w:tcMar>
            <w:vAlign w:val="center"/>
          </w:tcPr>
          <w:p w14:paraId="33AB7020">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209189B0">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047583C5">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2024年营业收入规模（填写区间值）</w:t>
            </w:r>
          </w:p>
        </w:tc>
        <w:tc>
          <w:tcPr>
            <w:tcW w:w="4752" w:type="dxa"/>
            <w:noWrap w:val="0"/>
            <w:tcMar>
              <w:top w:w="12" w:type="dxa"/>
              <w:left w:w="12" w:type="dxa"/>
              <w:right w:w="12" w:type="dxa"/>
            </w:tcMar>
            <w:vAlign w:val="center"/>
          </w:tcPr>
          <w:p w14:paraId="78E4118D">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1、50亿以下；2、50亿-100亿；3、100亿-300亿；4、300亿以上</w:t>
            </w:r>
          </w:p>
        </w:tc>
        <w:tc>
          <w:tcPr>
            <w:tcW w:w="2451" w:type="dxa"/>
            <w:noWrap w:val="0"/>
            <w:tcMar>
              <w:top w:w="12" w:type="dxa"/>
              <w:left w:w="12" w:type="dxa"/>
              <w:right w:w="12" w:type="dxa"/>
            </w:tcMar>
            <w:vAlign w:val="center"/>
          </w:tcPr>
          <w:p w14:paraId="2A182447">
            <w:pPr>
              <w:jc w:val="center"/>
              <w:rPr>
                <w:rFonts w:hint="eastAsia" w:ascii="仿宋" w:hAnsi="仿宋" w:eastAsia="仿宋" w:cs="仿宋"/>
                <w:i w:val="0"/>
                <w:color w:val="auto"/>
                <w:sz w:val="18"/>
                <w:szCs w:val="18"/>
                <w:highlight w:val="none"/>
                <w:u w:val="none"/>
              </w:rPr>
            </w:pPr>
          </w:p>
        </w:tc>
      </w:tr>
      <w:tr w14:paraId="3236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jc w:val="center"/>
        </w:trPr>
        <w:tc>
          <w:tcPr>
            <w:tcW w:w="1248" w:type="dxa"/>
            <w:vMerge w:val="continue"/>
            <w:noWrap w:val="0"/>
            <w:tcMar>
              <w:top w:w="12" w:type="dxa"/>
              <w:left w:w="12" w:type="dxa"/>
              <w:right w:w="12" w:type="dxa"/>
            </w:tcMar>
            <w:vAlign w:val="center"/>
          </w:tcPr>
          <w:p w14:paraId="120D2CC9">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08D04662">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24732BA7">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2024年总资产规模（填写区间值）</w:t>
            </w:r>
          </w:p>
        </w:tc>
        <w:tc>
          <w:tcPr>
            <w:tcW w:w="4752" w:type="dxa"/>
            <w:noWrap w:val="0"/>
            <w:tcMar>
              <w:top w:w="12" w:type="dxa"/>
              <w:left w:w="12" w:type="dxa"/>
              <w:right w:w="12" w:type="dxa"/>
            </w:tcMar>
            <w:vAlign w:val="center"/>
          </w:tcPr>
          <w:p w14:paraId="36BDAF0D">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1、50亿以下；2、50亿-100亿；3、100亿-300亿；4、300亿以上</w:t>
            </w:r>
          </w:p>
        </w:tc>
        <w:tc>
          <w:tcPr>
            <w:tcW w:w="2451" w:type="dxa"/>
            <w:noWrap w:val="0"/>
            <w:tcMar>
              <w:top w:w="12" w:type="dxa"/>
              <w:left w:w="12" w:type="dxa"/>
              <w:right w:w="12" w:type="dxa"/>
            </w:tcMar>
            <w:vAlign w:val="center"/>
          </w:tcPr>
          <w:p w14:paraId="754B7ECF">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0D3C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jc w:val="center"/>
        </w:trPr>
        <w:tc>
          <w:tcPr>
            <w:tcW w:w="1248" w:type="dxa"/>
            <w:vMerge w:val="continue"/>
            <w:noWrap w:val="0"/>
            <w:tcMar>
              <w:top w:w="12" w:type="dxa"/>
              <w:left w:w="12" w:type="dxa"/>
              <w:right w:w="12" w:type="dxa"/>
            </w:tcMar>
            <w:vAlign w:val="center"/>
          </w:tcPr>
          <w:p w14:paraId="0EADA4DE">
            <w:pPr>
              <w:jc w:val="center"/>
              <w:rPr>
                <w:rFonts w:hint="eastAsia" w:ascii="仿宋" w:hAnsi="仿宋" w:eastAsia="仿宋" w:cs="仿宋"/>
                <w:b/>
                <w:bCs w:val="0"/>
                <w:i w:val="0"/>
                <w:color w:val="auto"/>
                <w:sz w:val="18"/>
                <w:szCs w:val="18"/>
                <w:highlight w:val="none"/>
                <w:u w:val="none"/>
              </w:rPr>
            </w:pPr>
          </w:p>
        </w:tc>
        <w:tc>
          <w:tcPr>
            <w:tcW w:w="1527" w:type="dxa"/>
            <w:vMerge w:val="restart"/>
            <w:noWrap w:val="0"/>
            <w:tcMar>
              <w:top w:w="12" w:type="dxa"/>
              <w:left w:w="12" w:type="dxa"/>
              <w:right w:w="12" w:type="dxa"/>
            </w:tcMar>
            <w:vAlign w:val="center"/>
          </w:tcPr>
          <w:p w14:paraId="3BFA80A0">
            <w:pPr>
              <w:keepNext w:val="0"/>
              <w:keepLines w:val="0"/>
              <w:widowControl/>
              <w:suppressLineNumbers w:val="0"/>
              <w:jc w:val="center"/>
              <w:textAlignment w:val="center"/>
              <w:rPr>
                <w:rFonts w:hint="eastAsia" w:ascii="仿宋" w:hAnsi="仿宋" w:eastAsia="仿宋" w:cs="仿宋"/>
                <w:b/>
                <w:bCs w:val="0"/>
                <w:i w:val="0"/>
                <w:color w:val="auto"/>
                <w:sz w:val="18"/>
                <w:szCs w:val="18"/>
                <w:highlight w:val="none"/>
                <w:u w:val="none"/>
              </w:rPr>
            </w:pPr>
            <w:r>
              <w:rPr>
                <w:rFonts w:hint="eastAsia" w:ascii="仿宋" w:hAnsi="仿宋" w:eastAsia="仿宋" w:cs="仿宋"/>
                <w:b/>
                <w:bCs w:val="0"/>
                <w:i w:val="0"/>
                <w:color w:val="auto"/>
                <w:kern w:val="0"/>
                <w:sz w:val="18"/>
                <w:szCs w:val="18"/>
                <w:highlight w:val="none"/>
                <w:u w:val="none"/>
                <w:lang w:val="en-US" w:eastAsia="zh-CN" w:bidi="ar"/>
              </w:rPr>
              <w:t>联系人基本情况</w:t>
            </w:r>
          </w:p>
        </w:tc>
        <w:tc>
          <w:tcPr>
            <w:tcW w:w="4355" w:type="dxa"/>
            <w:noWrap w:val="0"/>
            <w:tcMar>
              <w:top w:w="12" w:type="dxa"/>
              <w:left w:w="12" w:type="dxa"/>
              <w:right w:w="12" w:type="dxa"/>
            </w:tcMar>
            <w:vAlign w:val="center"/>
          </w:tcPr>
          <w:p w14:paraId="3B0EAC01">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第一联系人</w:t>
            </w:r>
          </w:p>
        </w:tc>
        <w:tc>
          <w:tcPr>
            <w:tcW w:w="4752" w:type="dxa"/>
            <w:vMerge w:val="restart"/>
            <w:noWrap w:val="0"/>
            <w:tcMar>
              <w:top w:w="12" w:type="dxa"/>
              <w:left w:w="12" w:type="dxa"/>
              <w:right w:w="12" w:type="dxa"/>
            </w:tcMar>
            <w:vAlign w:val="center"/>
          </w:tcPr>
          <w:p w14:paraId="413AB787">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请填写评选第一和第二联系人，包括姓名、电话、邮寄地址和邮箱，以便后续评选联系。</w:t>
            </w:r>
          </w:p>
        </w:tc>
        <w:tc>
          <w:tcPr>
            <w:tcW w:w="2451" w:type="dxa"/>
            <w:noWrap w:val="0"/>
            <w:tcMar>
              <w:top w:w="12" w:type="dxa"/>
              <w:left w:w="12" w:type="dxa"/>
              <w:right w:w="12" w:type="dxa"/>
            </w:tcMar>
            <w:vAlign w:val="center"/>
          </w:tcPr>
          <w:p w14:paraId="15F43A0C">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38026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jc w:val="center"/>
        </w:trPr>
        <w:tc>
          <w:tcPr>
            <w:tcW w:w="1248" w:type="dxa"/>
            <w:vMerge w:val="continue"/>
            <w:noWrap w:val="0"/>
            <w:tcMar>
              <w:top w:w="12" w:type="dxa"/>
              <w:left w:w="12" w:type="dxa"/>
              <w:right w:w="12" w:type="dxa"/>
            </w:tcMar>
            <w:vAlign w:val="center"/>
          </w:tcPr>
          <w:p w14:paraId="41CE62EA">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4E2F6018">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46CFBF88">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电话</w:t>
            </w:r>
          </w:p>
        </w:tc>
        <w:tc>
          <w:tcPr>
            <w:tcW w:w="4752" w:type="dxa"/>
            <w:vMerge w:val="continue"/>
            <w:noWrap w:val="0"/>
            <w:tcMar>
              <w:top w:w="12" w:type="dxa"/>
              <w:left w:w="12" w:type="dxa"/>
              <w:right w:w="12" w:type="dxa"/>
            </w:tcMar>
            <w:vAlign w:val="center"/>
          </w:tcPr>
          <w:p w14:paraId="40D8F08B">
            <w:pPr>
              <w:jc w:val="left"/>
              <w:rPr>
                <w:rFonts w:hint="eastAsia" w:ascii="仿宋" w:hAnsi="仿宋" w:eastAsia="仿宋" w:cs="仿宋"/>
                <w:i w:val="0"/>
                <w:color w:val="auto"/>
                <w:sz w:val="18"/>
                <w:szCs w:val="18"/>
                <w:highlight w:val="none"/>
                <w:u w:val="none"/>
              </w:rPr>
            </w:pPr>
          </w:p>
        </w:tc>
        <w:tc>
          <w:tcPr>
            <w:tcW w:w="2451" w:type="dxa"/>
            <w:noWrap w:val="0"/>
            <w:tcMar>
              <w:top w:w="12" w:type="dxa"/>
              <w:left w:w="12" w:type="dxa"/>
              <w:right w:w="12" w:type="dxa"/>
            </w:tcMar>
            <w:vAlign w:val="center"/>
          </w:tcPr>
          <w:p w14:paraId="42F15205">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1EF84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jc w:val="center"/>
        </w:trPr>
        <w:tc>
          <w:tcPr>
            <w:tcW w:w="1248" w:type="dxa"/>
            <w:vMerge w:val="continue"/>
            <w:noWrap w:val="0"/>
            <w:tcMar>
              <w:top w:w="12" w:type="dxa"/>
              <w:left w:w="12" w:type="dxa"/>
              <w:right w:w="12" w:type="dxa"/>
            </w:tcMar>
            <w:vAlign w:val="center"/>
          </w:tcPr>
          <w:p w14:paraId="49C75ADA">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0BF1294A">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01B6912E">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邮寄地址</w:t>
            </w:r>
          </w:p>
        </w:tc>
        <w:tc>
          <w:tcPr>
            <w:tcW w:w="4752" w:type="dxa"/>
            <w:vMerge w:val="continue"/>
            <w:noWrap w:val="0"/>
            <w:tcMar>
              <w:top w:w="12" w:type="dxa"/>
              <w:left w:w="12" w:type="dxa"/>
              <w:right w:w="12" w:type="dxa"/>
            </w:tcMar>
            <w:vAlign w:val="center"/>
          </w:tcPr>
          <w:p w14:paraId="532D3587">
            <w:pPr>
              <w:jc w:val="left"/>
              <w:rPr>
                <w:rFonts w:hint="eastAsia" w:ascii="仿宋" w:hAnsi="仿宋" w:eastAsia="仿宋" w:cs="仿宋"/>
                <w:i w:val="0"/>
                <w:color w:val="auto"/>
                <w:sz w:val="18"/>
                <w:szCs w:val="18"/>
                <w:highlight w:val="none"/>
                <w:u w:val="none"/>
              </w:rPr>
            </w:pPr>
          </w:p>
        </w:tc>
        <w:tc>
          <w:tcPr>
            <w:tcW w:w="2451" w:type="dxa"/>
            <w:noWrap w:val="0"/>
            <w:tcMar>
              <w:top w:w="12" w:type="dxa"/>
              <w:left w:w="12" w:type="dxa"/>
              <w:right w:w="12" w:type="dxa"/>
            </w:tcMar>
            <w:vAlign w:val="center"/>
          </w:tcPr>
          <w:p w14:paraId="28782575">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260A1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jc w:val="center"/>
        </w:trPr>
        <w:tc>
          <w:tcPr>
            <w:tcW w:w="1248" w:type="dxa"/>
            <w:vMerge w:val="continue"/>
            <w:noWrap w:val="0"/>
            <w:tcMar>
              <w:top w:w="12" w:type="dxa"/>
              <w:left w:w="12" w:type="dxa"/>
              <w:right w:w="12" w:type="dxa"/>
            </w:tcMar>
            <w:vAlign w:val="center"/>
          </w:tcPr>
          <w:p w14:paraId="7C7D53D0">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3E8B9ED0">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0C660DE2">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电子邮箱</w:t>
            </w:r>
          </w:p>
        </w:tc>
        <w:tc>
          <w:tcPr>
            <w:tcW w:w="4752" w:type="dxa"/>
            <w:vMerge w:val="continue"/>
            <w:noWrap w:val="0"/>
            <w:tcMar>
              <w:top w:w="12" w:type="dxa"/>
              <w:left w:w="12" w:type="dxa"/>
              <w:right w:w="12" w:type="dxa"/>
            </w:tcMar>
            <w:vAlign w:val="center"/>
          </w:tcPr>
          <w:p w14:paraId="2B57282C">
            <w:pPr>
              <w:jc w:val="left"/>
              <w:rPr>
                <w:rFonts w:hint="eastAsia" w:ascii="仿宋" w:hAnsi="仿宋" w:eastAsia="仿宋" w:cs="仿宋"/>
                <w:i w:val="0"/>
                <w:color w:val="auto"/>
                <w:sz w:val="18"/>
                <w:szCs w:val="18"/>
                <w:highlight w:val="none"/>
                <w:u w:val="none"/>
              </w:rPr>
            </w:pPr>
          </w:p>
        </w:tc>
        <w:tc>
          <w:tcPr>
            <w:tcW w:w="2451" w:type="dxa"/>
            <w:noWrap w:val="0"/>
            <w:tcMar>
              <w:top w:w="12" w:type="dxa"/>
              <w:left w:w="12" w:type="dxa"/>
              <w:right w:w="12" w:type="dxa"/>
            </w:tcMar>
            <w:vAlign w:val="center"/>
          </w:tcPr>
          <w:p w14:paraId="01691AA5">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25E5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1248" w:type="dxa"/>
            <w:vMerge w:val="restart"/>
            <w:noWrap w:val="0"/>
            <w:tcMar>
              <w:top w:w="12" w:type="dxa"/>
              <w:left w:w="12" w:type="dxa"/>
              <w:right w:w="12" w:type="dxa"/>
            </w:tcMar>
            <w:vAlign w:val="center"/>
          </w:tcPr>
          <w:p w14:paraId="6249EE7A">
            <w:pPr>
              <w:keepNext w:val="0"/>
              <w:keepLines w:val="0"/>
              <w:widowControl/>
              <w:suppressLineNumbers w:val="0"/>
              <w:jc w:val="center"/>
              <w:textAlignment w:val="center"/>
              <w:rPr>
                <w:rFonts w:hint="eastAsia" w:ascii="仿宋" w:hAnsi="仿宋" w:eastAsia="仿宋" w:cs="仿宋"/>
                <w:b/>
                <w:bCs w:val="0"/>
                <w:i w:val="0"/>
                <w:color w:val="auto"/>
                <w:sz w:val="18"/>
                <w:szCs w:val="18"/>
                <w:highlight w:val="none"/>
                <w:u w:val="none"/>
              </w:rPr>
            </w:pPr>
            <w:r>
              <w:rPr>
                <w:rFonts w:hint="eastAsia" w:ascii="仿宋" w:hAnsi="仿宋" w:eastAsia="仿宋" w:cs="仿宋"/>
                <w:b/>
                <w:bCs w:val="0"/>
                <w:i w:val="0"/>
                <w:color w:val="auto"/>
                <w:kern w:val="0"/>
                <w:sz w:val="18"/>
                <w:szCs w:val="18"/>
                <w:highlight w:val="none"/>
                <w:u w:val="none"/>
                <w:lang w:val="en-US" w:eastAsia="zh-CN" w:bidi="ar"/>
              </w:rPr>
              <w:t>董事会基本情况</w:t>
            </w:r>
          </w:p>
        </w:tc>
        <w:tc>
          <w:tcPr>
            <w:tcW w:w="1527" w:type="dxa"/>
            <w:vMerge w:val="restart"/>
            <w:noWrap w:val="0"/>
            <w:tcMar>
              <w:top w:w="12" w:type="dxa"/>
              <w:left w:w="12" w:type="dxa"/>
              <w:right w:w="12" w:type="dxa"/>
            </w:tcMar>
            <w:vAlign w:val="center"/>
          </w:tcPr>
          <w:p w14:paraId="0330F9F6">
            <w:pPr>
              <w:keepNext w:val="0"/>
              <w:keepLines w:val="0"/>
              <w:widowControl/>
              <w:suppressLineNumbers w:val="0"/>
              <w:jc w:val="center"/>
              <w:textAlignment w:val="center"/>
              <w:rPr>
                <w:rFonts w:hint="eastAsia" w:ascii="仿宋" w:hAnsi="仿宋" w:eastAsia="仿宋" w:cs="仿宋"/>
                <w:b/>
                <w:bCs w:val="0"/>
                <w:i w:val="0"/>
                <w:color w:val="auto"/>
                <w:sz w:val="18"/>
                <w:szCs w:val="18"/>
                <w:highlight w:val="none"/>
                <w:u w:val="none"/>
              </w:rPr>
            </w:pPr>
            <w:r>
              <w:rPr>
                <w:rFonts w:hint="eastAsia" w:ascii="仿宋" w:hAnsi="仿宋" w:eastAsia="仿宋" w:cs="仿宋"/>
                <w:b/>
                <w:bCs w:val="0"/>
                <w:i w:val="0"/>
                <w:color w:val="auto"/>
                <w:kern w:val="0"/>
                <w:sz w:val="18"/>
                <w:szCs w:val="18"/>
                <w:highlight w:val="none"/>
                <w:u w:val="none"/>
                <w:lang w:val="en-US" w:eastAsia="zh-CN" w:bidi="ar"/>
              </w:rPr>
              <w:t>董事会构成情况</w:t>
            </w:r>
          </w:p>
        </w:tc>
        <w:tc>
          <w:tcPr>
            <w:tcW w:w="4355" w:type="dxa"/>
            <w:noWrap w:val="0"/>
            <w:tcMar>
              <w:top w:w="12" w:type="dxa"/>
              <w:left w:w="12" w:type="dxa"/>
              <w:right w:w="12" w:type="dxa"/>
            </w:tcMar>
            <w:vAlign w:val="center"/>
          </w:tcPr>
          <w:p w14:paraId="27B1DA58">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评价期末董事会人数</w:t>
            </w:r>
          </w:p>
        </w:tc>
        <w:tc>
          <w:tcPr>
            <w:tcW w:w="4752" w:type="dxa"/>
            <w:noWrap w:val="0"/>
            <w:tcMar>
              <w:top w:w="12" w:type="dxa"/>
              <w:left w:w="12" w:type="dxa"/>
              <w:right w:w="12" w:type="dxa"/>
            </w:tcMar>
            <w:vAlign w:val="center"/>
          </w:tcPr>
          <w:p w14:paraId="6412F74D">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填写评价期末的董事会人数</w:t>
            </w:r>
          </w:p>
        </w:tc>
        <w:tc>
          <w:tcPr>
            <w:tcW w:w="2451" w:type="dxa"/>
            <w:noWrap w:val="0"/>
            <w:tcMar>
              <w:top w:w="12" w:type="dxa"/>
              <w:left w:w="12" w:type="dxa"/>
              <w:right w:w="12" w:type="dxa"/>
            </w:tcMar>
            <w:vAlign w:val="center"/>
          </w:tcPr>
          <w:p w14:paraId="2F397138">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5856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1248" w:type="dxa"/>
            <w:vMerge w:val="continue"/>
            <w:noWrap w:val="0"/>
            <w:tcMar>
              <w:top w:w="12" w:type="dxa"/>
              <w:left w:w="12" w:type="dxa"/>
              <w:right w:w="12" w:type="dxa"/>
            </w:tcMar>
            <w:vAlign w:val="center"/>
          </w:tcPr>
          <w:p w14:paraId="2A083157">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7323ADF9">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295D29E1">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评价期内是否存在董事会人数与章程规定人数不一致的情形，且时限超过2个月以上</w:t>
            </w:r>
          </w:p>
        </w:tc>
        <w:tc>
          <w:tcPr>
            <w:tcW w:w="4752" w:type="dxa"/>
            <w:noWrap w:val="0"/>
            <w:tcMar>
              <w:top w:w="12" w:type="dxa"/>
              <w:left w:w="12" w:type="dxa"/>
              <w:right w:w="12" w:type="dxa"/>
            </w:tcMar>
            <w:vAlign w:val="center"/>
          </w:tcPr>
          <w:p w14:paraId="218F02B4">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是/否。（如填“是”，请简要说明情况）</w:t>
            </w:r>
          </w:p>
        </w:tc>
        <w:tc>
          <w:tcPr>
            <w:tcW w:w="2451" w:type="dxa"/>
            <w:noWrap w:val="0"/>
            <w:tcMar>
              <w:top w:w="12" w:type="dxa"/>
              <w:left w:w="12" w:type="dxa"/>
              <w:right w:w="12" w:type="dxa"/>
            </w:tcMar>
            <w:vAlign w:val="center"/>
          </w:tcPr>
          <w:p w14:paraId="69BFA32C">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2934D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0" w:hRule="atLeast"/>
          <w:jc w:val="center"/>
        </w:trPr>
        <w:tc>
          <w:tcPr>
            <w:tcW w:w="1248" w:type="dxa"/>
            <w:vMerge w:val="continue"/>
            <w:noWrap w:val="0"/>
            <w:tcMar>
              <w:top w:w="12" w:type="dxa"/>
              <w:left w:w="12" w:type="dxa"/>
              <w:right w:w="12" w:type="dxa"/>
            </w:tcMar>
            <w:vAlign w:val="center"/>
          </w:tcPr>
          <w:p w14:paraId="4FF23D95">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3E90DCE4">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60D1D044">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独立董事占董事会人数的比例</w:t>
            </w:r>
          </w:p>
        </w:tc>
        <w:tc>
          <w:tcPr>
            <w:tcW w:w="4752" w:type="dxa"/>
            <w:vMerge w:val="restart"/>
            <w:noWrap w:val="0"/>
            <w:tcMar>
              <w:top w:w="12" w:type="dxa"/>
              <w:left w:w="12" w:type="dxa"/>
              <w:right w:w="12" w:type="dxa"/>
            </w:tcMar>
            <w:vAlign w:val="center"/>
          </w:tcPr>
          <w:p w14:paraId="70555B23">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请列明具体的计算公式，结果以百分数表示，四舍五入且不保留小数点。</w:t>
            </w:r>
          </w:p>
        </w:tc>
        <w:tc>
          <w:tcPr>
            <w:tcW w:w="2451" w:type="dxa"/>
            <w:noWrap w:val="0"/>
            <w:tcMar>
              <w:top w:w="12" w:type="dxa"/>
              <w:left w:w="12" w:type="dxa"/>
              <w:right w:w="12" w:type="dxa"/>
            </w:tcMar>
            <w:vAlign w:val="center"/>
          </w:tcPr>
          <w:p w14:paraId="39C28130">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789D2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1248" w:type="dxa"/>
            <w:vMerge w:val="continue"/>
            <w:noWrap w:val="0"/>
            <w:tcMar>
              <w:top w:w="12" w:type="dxa"/>
              <w:left w:w="12" w:type="dxa"/>
              <w:right w:w="12" w:type="dxa"/>
            </w:tcMar>
            <w:vAlign w:val="center"/>
          </w:tcPr>
          <w:p w14:paraId="26FED35F">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21755625">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02B3B643">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兼任高管及由职工代表担任的董事占董事会人数的比例</w:t>
            </w:r>
          </w:p>
        </w:tc>
        <w:tc>
          <w:tcPr>
            <w:tcW w:w="4752" w:type="dxa"/>
            <w:vMerge w:val="continue"/>
            <w:noWrap w:val="0"/>
            <w:tcMar>
              <w:top w:w="12" w:type="dxa"/>
              <w:left w:w="12" w:type="dxa"/>
              <w:right w:w="12" w:type="dxa"/>
            </w:tcMar>
            <w:vAlign w:val="center"/>
          </w:tcPr>
          <w:p w14:paraId="177F7BED">
            <w:pPr>
              <w:jc w:val="center"/>
              <w:rPr>
                <w:rFonts w:hint="eastAsia" w:ascii="仿宋" w:hAnsi="仿宋" w:eastAsia="仿宋" w:cs="仿宋"/>
                <w:i w:val="0"/>
                <w:color w:val="auto"/>
                <w:sz w:val="18"/>
                <w:szCs w:val="18"/>
                <w:highlight w:val="none"/>
                <w:u w:val="none"/>
              </w:rPr>
            </w:pPr>
          </w:p>
        </w:tc>
        <w:tc>
          <w:tcPr>
            <w:tcW w:w="2451" w:type="dxa"/>
            <w:noWrap w:val="0"/>
            <w:tcMar>
              <w:top w:w="12" w:type="dxa"/>
              <w:left w:w="12" w:type="dxa"/>
              <w:right w:w="12" w:type="dxa"/>
            </w:tcMar>
            <w:vAlign w:val="center"/>
          </w:tcPr>
          <w:p w14:paraId="6CF77BF4">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02A5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1248" w:type="dxa"/>
            <w:vMerge w:val="continue"/>
            <w:noWrap w:val="0"/>
            <w:tcMar>
              <w:top w:w="12" w:type="dxa"/>
              <w:left w:w="12" w:type="dxa"/>
              <w:right w:w="12" w:type="dxa"/>
            </w:tcMar>
            <w:vAlign w:val="center"/>
          </w:tcPr>
          <w:p w14:paraId="59E9F412">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243CE6BC">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034B036E">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任期超过10年的非独立董事占非独立董事人数的比例</w:t>
            </w:r>
          </w:p>
        </w:tc>
        <w:tc>
          <w:tcPr>
            <w:tcW w:w="4752" w:type="dxa"/>
            <w:vMerge w:val="continue"/>
            <w:noWrap w:val="0"/>
            <w:tcMar>
              <w:top w:w="12" w:type="dxa"/>
              <w:left w:w="12" w:type="dxa"/>
              <w:right w:w="12" w:type="dxa"/>
            </w:tcMar>
            <w:vAlign w:val="center"/>
          </w:tcPr>
          <w:p w14:paraId="2CB18E20">
            <w:pPr>
              <w:jc w:val="center"/>
              <w:rPr>
                <w:rFonts w:hint="eastAsia" w:ascii="仿宋" w:hAnsi="仿宋" w:eastAsia="仿宋" w:cs="仿宋"/>
                <w:i w:val="0"/>
                <w:color w:val="auto"/>
                <w:sz w:val="18"/>
                <w:szCs w:val="18"/>
                <w:highlight w:val="none"/>
                <w:u w:val="none"/>
              </w:rPr>
            </w:pPr>
          </w:p>
        </w:tc>
        <w:tc>
          <w:tcPr>
            <w:tcW w:w="2451" w:type="dxa"/>
            <w:noWrap w:val="0"/>
            <w:tcMar>
              <w:top w:w="12" w:type="dxa"/>
              <w:left w:w="12" w:type="dxa"/>
              <w:right w:w="12" w:type="dxa"/>
            </w:tcMar>
            <w:vAlign w:val="center"/>
          </w:tcPr>
          <w:p w14:paraId="325E47B2">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1CA8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1248" w:type="dxa"/>
            <w:vMerge w:val="continue"/>
            <w:noWrap w:val="0"/>
            <w:tcMar>
              <w:top w:w="12" w:type="dxa"/>
              <w:left w:w="12" w:type="dxa"/>
              <w:right w:w="12" w:type="dxa"/>
            </w:tcMar>
            <w:vAlign w:val="center"/>
          </w:tcPr>
          <w:p w14:paraId="7A12371A">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227802DC">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621E1331">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是否包含女性董事</w:t>
            </w:r>
          </w:p>
        </w:tc>
        <w:tc>
          <w:tcPr>
            <w:tcW w:w="4752" w:type="dxa"/>
            <w:noWrap w:val="0"/>
            <w:tcMar>
              <w:top w:w="12" w:type="dxa"/>
              <w:left w:w="12" w:type="dxa"/>
              <w:right w:w="12" w:type="dxa"/>
            </w:tcMar>
            <w:vAlign w:val="center"/>
          </w:tcPr>
          <w:p w14:paraId="57C2BBBB">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是/否。（如填“是”，请简要说明女性董事姓名和任职情况）</w:t>
            </w:r>
          </w:p>
        </w:tc>
        <w:tc>
          <w:tcPr>
            <w:tcW w:w="2451" w:type="dxa"/>
            <w:noWrap w:val="0"/>
            <w:tcMar>
              <w:top w:w="12" w:type="dxa"/>
              <w:left w:w="12" w:type="dxa"/>
              <w:right w:w="12" w:type="dxa"/>
            </w:tcMar>
            <w:vAlign w:val="center"/>
          </w:tcPr>
          <w:p w14:paraId="2C867AA2">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7CFC4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1248" w:type="dxa"/>
            <w:vMerge w:val="continue"/>
            <w:noWrap w:val="0"/>
            <w:tcMar>
              <w:top w:w="12" w:type="dxa"/>
              <w:left w:w="12" w:type="dxa"/>
              <w:right w:w="12" w:type="dxa"/>
            </w:tcMar>
            <w:vAlign w:val="center"/>
          </w:tcPr>
          <w:p w14:paraId="09EE337F">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0A3742FE">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4D334FB5">
            <w:pPr>
              <w:keepNext w:val="0"/>
              <w:keepLines w:val="0"/>
              <w:widowControl/>
              <w:suppressLineNumbers w:val="0"/>
              <w:jc w:val="left"/>
              <w:textAlignment w:val="center"/>
              <w:rPr>
                <w:rFonts w:hint="default" w:ascii="仿宋" w:hAnsi="仿宋" w:eastAsia="仿宋" w:cs="仿宋"/>
                <w:i w:val="0"/>
                <w:color w:val="auto"/>
                <w:kern w:val="0"/>
                <w:sz w:val="18"/>
                <w:szCs w:val="18"/>
                <w:highlight w:val="none"/>
                <w:u w:val="none"/>
                <w:lang w:val="en-US" w:eastAsia="zh-CN" w:bidi="ar"/>
              </w:rPr>
            </w:pPr>
            <w:r>
              <w:rPr>
                <w:rFonts w:hint="eastAsia" w:ascii="仿宋" w:hAnsi="仿宋" w:eastAsia="仿宋" w:cs="仿宋"/>
                <w:i w:val="0"/>
                <w:color w:val="auto"/>
                <w:kern w:val="0"/>
                <w:sz w:val="18"/>
                <w:szCs w:val="18"/>
                <w:highlight w:val="none"/>
                <w:u w:val="none"/>
                <w:lang w:val="en-US" w:eastAsia="zh-CN" w:bidi="ar"/>
              </w:rPr>
              <w:t>是否包含职工董事</w:t>
            </w:r>
          </w:p>
        </w:tc>
        <w:tc>
          <w:tcPr>
            <w:tcW w:w="4752" w:type="dxa"/>
            <w:noWrap w:val="0"/>
            <w:tcMar>
              <w:top w:w="12" w:type="dxa"/>
              <w:left w:w="12" w:type="dxa"/>
              <w:right w:w="12" w:type="dxa"/>
            </w:tcMar>
            <w:vAlign w:val="center"/>
          </w:tcPr>
          <w:p w14:paraId="7723A5B8">
            <w:pPr>
              <w:keepNext w:val="0"/>
              <w:keepLines w:val="0"/>
              <w:widowControl/>
              <w:suppressLineNumbers w:val="0"/>
              <w:jc w:val="left"/>
              <w:textAlignment w:val="center"/>
              <w:rPr>
                <w:rFonts w:hint="eastAsia" w:ascii="仿宋" w:hAnsi="仿宋" w:eastAsia="仿宋" w:cs="仿宋"/>
                <w:i w:val="0"/>
                <w:color w:val="auto"/>
                <w:kern w:val="2"/>
                <w:sz w:val="18"/>
                <w:szCs w:val="18"/>
                <w:highlight w:val="none"/>
                <w:u w:val="none"/>
                <w:lang w:val="en-US" w:eastAsia="zh-CN" w:bidi="ar-SA"/>
              </w:rPr>
            </w:pPr>
            <w:r>
              <w:rPr>
                <w:rFonts w:hint="eastAsia" w:ascii="仿宋" w:hAnsi="仿宋" w:eastAsia="仿宋" w:cs="仿宋"/>
                <w:i w:val="0"/>
                <w:color w:val="auto"/>
                <w:kern w:val="0"/>
                <w:sz w:val="18"/>
                <w:szCs w:val="18"/>
                <w:highlight w:val="none"/>
                <w:u w:val="none"/>
                <w:lang w:val="en-US" w:eastAsia="zh-CN" w:bidi="ar"/>
              </w:rPr>
              <w:t>是/否。（如填“是”，请简要说明职工董事姓名和任职情况）</w:t>
            </w:r>
          </w:p>
        </w:tc>
        <w:tc>
          <w:tcPr>
            <w:tcW w:w="2451" w:type="dxa"/>
            <w:noWrap w:val="0"/>
            <w:tcMar>
              <w:top w:w="12" w:type="dxa"/>
              <w:left w:w="12" w:type="dxa"/>
              <w:right w:w="12" w:type="dxa"/>
            </w:tcMar>
            <w:vAlign w:val="center"/>
          </w:tcPr>
          <w:p w14:paraId="450924A2">
            <w:pPr>
              <w:keepNext w:val="0"/>
              <w:keepLines w:val="0"/>
              <w:widowControl/>
              <w:suppressLineNumbers w:val="0"/>
              <w:jc w:val="center"/>
              <w:textAlignment w:val="center"/>
              <w:rPr>
                <w:rFonts w:hint="eastAsia" w:ascii="仿宋" w:hAnsi="仿宋" w:eastAsia="仿宋" w:cs="仿宋"/>
                <w:i w:val="0"/>
                <w:color w:val="auto"/>
                <w:kern w:val="2"/>
                <w:sz w:val="18"/>
                <w:szCs w:val="18"/>
                <w:highlight w:val="none"/>
                <w:u w:val="none"/>
                <w:lang w:val="en-US" w:eastAsia="zh-CN" w:bidi="ar-SA"/>
              </w:rPr>
            </w:pPr>
          </w:p>
        </w:tc>
      </w:tr>
      <w:tr w14:paraId="09E0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1248" w:type="dxa"/>
            <w:vMerge w:val="continue"/>
            <w:noWrap w:val="0"/>
            <w:tcMar>
              <w:top w:w="12" w:type="dxa"/>
              <w:left w:w="12" w:type="dxa"/>
              <w:right w:w="12" w:type="dxa"/>
            </w:tcMar>
            <w:vAlign w:val="center"/>
          </w:tcPr>
          <w:p w14:paraId="3DEDDF9F">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0DAB54CF">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4DE5D833">
            <w:pPr>
              <w:keepNext w:val="0"/>
              <w:keepLines w:val="0"/>
              <w:widowControl/>
              <w:suppressLineNumbers w:val="0"/>
              <w:jc w:val="left"/>
              <w:textAlignment w:val="center"/>
              <w:rPr>
                <w:rFonts w:hint="default" w:ascii="仿宋" w:hAnsi="仿宋" w:eastAsia="仿宋" w:cs="仿宋"/>
                <w:i w:val="0"/>
                <w:color w:val="auto"/>
                <w:sz w:val="18"/>
                <w:szCs w:val="18"/>
                <w:highlight w:val="none"/>
                <w:u w:val="none"/>
                <w:lang w:val="en-US"/>
              </w:rPr>
            </w:pPr>
            <w:r>
              <w:rPr>
                <w:rFonts w:hint="eastAsia" w:ascii="仿宋" w:hAnsi="仿宋" w:eastAsia="仿宋" w:cs="仿宋"/>
                <w:i w:val="0"/>
                <w:color w:val="auto"/>
                <w:kern w:val="0"/>
                <w:sz w:val="18"/>
                <w:szCs w:val="18"/>
                <w:highlight w:val="none"/>
                <w:u w:val="none"/>
                <w:lang w:val="en-US" w:eastAsia="zh-CN" w:bidi="ar"/>
              </w:rPr>
              <w:t xml:space="preserve">董事长与总经理是否由同一人担任 </w:t>
            </w:r>
          </w:p>
        </w:tc>
        <w:tc>
          <w:tcPr>
            <w:tcW w:w="4752" w:type="dxa"/>
            <w:noWrap w:val="0"/>
            <w:tcMar>
              <w:top w:w="12" w:type="dxa"/>
              <w:left w:w="12" w:type="dxa"/>
              <w:right w:w="12" w:type="dxa"/>
            </w:tcMar>
            <w:vAlign w:val="center"/>
          </w:tcPr>
          <w:p w14:paraId="7BA9F005">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是/否。（如填“是”，请简要说明董事长与总经理任职情况）</w:t>
            </w:r>
          </w:p>
        </w:tc>
        <w:tc>
          <w:tcPr>
            <w:tcW w:w="2451" w:type="dxa"/>
            <w:noWrap w:val="0"/>
            <w:tcMar>
              <w:top w:w="12" w:type="dxa"/>
              <w:left w:w="12" w:type="dxa"/>
              <w:right w:w="12" w:type="dxa"/>
            </w:tcMar>
            <w:vAlign w:val="center"/>
          </w:tcPr>
          <w:p w14:paraId="217448FC">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5BC70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1248" w:type="dxa"/>
            <w:vMerge w:val="continue"/>
            <w:noWrap w:val="0"/>
            <w:tcMar>
              <w:top w:w="12" w:type="dxa"/>
              <w:left w:w="12" w:type="dxa"/>
              <w:right w:w="12" w:type="dxa"/>
            </w:tcMar>
            <w:vAlign w:val="center"/>
          </w:tcPr>
          <w:p w14:paraId="31F7B4A4">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1441BC52">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2A447E6A">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是否存在中小股东提名董事的机制</w:t>
            </w:r>
          </w:p>
        </w:tc>
        <w:tc>
          <w:tcPr>
            <w:tcW w:w="4752" w:type="dxa"/>
            <w:noWrap w:val="0"/>
            <w:tcMar>
              <w:top w:w="12" w:type="dxa"/>
              <w:left w:w="12" w:type="dxa"/>
              <w:right w:w="12" w:type="dxa"/>
            </w:tcMar>
            <w:vAlign w:val="center"/>
          </w:tcPr>
          <w:p w14:paraId="6C91D0D5">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是/否。（如填“是”，请简要说明提名机制）</w:t>
            </w:r>
          </w:p>
        </w:tc>
        <w:tc>
          <w:tcPr>
            <w:tcW w:w="2451" w:type="dxa"/>
            <w:noWrap w:val="0"/>
            <w:tcMar>
              <w:top w:w="12" w:type="dxa"/>
              <w:left w:w="12" w:type="dxa"/>
              <w:right w:w="12" w:type="dxa"/>
            </w:tcMar>
            <w:vAlign w:val="center"/>
          </w:tcPr>
          <w:p w14:paraId="5A839CE4">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7204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jc w:val="center"/>
        </w:trPr>
        <w:tc>
          <w:tcPr>
            <w:tcW w:w="1248" w:type="dxa"/>
            <w:vMerge w:val="continue"/>
            <w:noWrap w:val="0"/>
            <w:tcMar>
              <w:top w:w="12" w:type="dxa"/>
              <w:left w:w="12" w:type="dxa"/>
              <w:right w:w="12" w:type="dxa"/>
            </w:tcMar>
            <w:vAlign w:val="center"/>
          </w:tcPr>
          <w:p w14:paraId="68268309">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7DAFED37">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07E159DA">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评价期内是否存在董事会任期届满超过两个月仍未及时换届的情况</w:t>
            </w:r>
          </w:p>
        </w:tc>
        <w:tc>
          <w:tcPr>
            <w:tcW w:w="4752" w:type="dxa"/>
            <w:noWrap w:val="0"/>
            <w:tcMar>
              <w:top w:w="12" w:type="dxa"/>
              <w:left w:w="12" w:type="dxa"/>
              <w:right w:w="12" w:type="dxa"/>
            </w:tcMar>
            <w:vAlign w:val="center"/>
          </w:tcPr>
          <w:p w14:paraId="598360CD">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是/否。（如填“是”，请简要说明最近一次换届情况）</w:t>
            </w:r>
          </w:p>
        </w:tc>
        <w:tc>
          <w:tcPr>
            <w:tcW w:w="2451" w:type="dxa"/>
            <w:noWrap w:val="0"/>
            <w:tcMar>
              <w:top w:w="12" w:type="dxa"/>
              <w:left w:w="12" w:type="dxa"/>
              <w:right w:w="12" w:type="dxa"/>
            </w:tcMar>
            <w:vAlign w:val="center"/>
          </w:tcPr>
          <w:p w14:paraId="5EA2B88C">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5F7A9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1248" w:type="dxa"/>
            <w:vMerge w:val="continue"/>
            <w:noWrap w:val="0"/>
            <w:tcMar>
              <w:top w:w="12" w:type="dxa"/>
              <w:left w:w="12" w:type="dxa"/>
              <w:right w:w="12" w:type="dxa"/>
            </w:tcMar>
            <w:vAlign w:val="center"/>
          </w:tcPr>
          <w:p w14:paraId="3907A379">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1C08CBDF">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61148338">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公司章程中是否对累积投票制的适用有明确规定</w:t>
            </w:r>
          </w:p>
        </w:tc>
        <w:tc>
          <w:tcPr>
            <w:tcW w:w="4752" w:type="dxa"/>
            <w:noWrap w:val="0"/>
            <w:tcMar>
              <w:top w:w="12" w:type="dxa"/>
              <w:left w:w="12" w:type="dxa"/>
              <w:right w:w="12" w:type="dxa"/>
            </w:tcMar>
            <w:vAlign w:val="center"/>
          </w:tcPr>
          <w:p w14:paraId="67898C8D">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是/否（如填“是”，请简要说明情况）</w:t>
            </w:r>
          </w:p>
        </w:tc>
        <w:tc>
          <w:tcPr>
            <w:tcW w:w="2451" w:type="dxa"/>
            <w:noWrap w:val="0"/>
            <w:tcMar>
              <w:top w:w="12" w:type="dxa"/>
              <w:left w:w="12" w:type="dxa"/>
              <w:right w:w="12" w:type="dxa"/>
            </w:tcMar>
            <w:vAlign w:val="center"/>
          </w:tcPr>
          <w:p w14:paraId="1D0F8325">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51380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1248" w:type="dxa"/>
            <w:vMerge w:val="continue"/>
            <w:noWrap w:val="0"/>
            <w:tcMar>
              <w:top w:w="12" w:type="dxa"/>
              <w:left w:w="12" w:type="dxa"/>
              <w:right w:w="12" w:type="dxa"/>
            </w:tcMar>
            <w:vAlign w:val="center"/>
          </w:tcPr>
          <w:p w14:paraId="64C2F302">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7916069E">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59A62733">
            <w:pPr>
              <w:keepNext w:val="0"/>
              <w:keepLines w:val="0"/>
              <w:widowControl/>
              <w:suppressLineNumbers w:val="0"/>
              <w:jc w:val="left"/>
              <w:textAlignment w:val="center"/>
              <w:rPr>
                <w:rFonts w:hint="eastAsia" w:ascii="仿宋" w:hAnsi="仿宋" w:eastAsia="仿宋" w:cs="仿宋"/>
                <w:i w:val="0"/>
                <w:color w:val="auto"/>
                <w:kern w:val="0"/>
                <w:sz w:val="18"/>
                <w:szCs w:val="18"/>
                <w:highlight w:val="none"/>
                <w:u w:val="none"/>
                <w:lang w:val="en-US" w:eastAsia="zh-CN" w:bidi="ar"/>
              </w:rPr>
            </w:pPr>
            <w:r>
              <w:rPr>
                <w:rFonts w:hint="eastAsia" w:ascii="仿宋" w:hAnsi="仿宋" w:eastAsia="仿宋" w:cs="仿宋"/>
                <w:i w:val="0"/>
                <w:color w:val="auto"/>
                <w:kern w:val="0"/>
                <w:sz w:val="18"/>
                <w:szCs w:val="18"/>
                <w:highlight w:val="none"/>
                <w:u w:val="none"/>
                <w:lang w:val="en-US" w:eastAsia="zh-CN" w:bidi="ar"/>
              </w:rPr>
              <w:t>公司章程中是否对独立董事差额选举有相应规定</w:t>
            </w:r>
          </w:p>
        </w:tc>
        <w:tc>
          <w:tcPr>
            <w:tcW w:w="4752" w:type="dxa"/>
            <w:noWrap w:val="0"/>
            <w:tcMar>
              <w:top w:w="12" w:type="dxa"/>
              <w:left w:w="12" w:type="dxa"/>
              <w:right w:w="12" w:type="dxa"/>
            </w:tcMar>
            <w:vAlign w:val="center"/>
          </w:tcPr>
          <w:p w14:paraId="7C202A0E">
            <w:pPr>
              <w:keepNext w:val="0"/>
              <w:keepLines w:val="0"/>
              <w:widowControl/>
              <w:suppressLineNumbers w:val="0"/>
              <w:jc w:val="left"/>
              <w:textAlignment w:val="center"/>
              <w:rPr>
                <w:rFonts w:hint="eastAsia" w:ascii="仿宋" w:hAnsi="仿宋" w:eastAsia="仿宋" w:cs="仿宋"/>
                <w:i w:val="0"/>
                <w:color w:val="auto"/>
                <w:kern w:val="0"/>
                <w:sz w:val="18"/>
                <w:szCs w:val="18"/>
                <w:highlight w:val="none"/>
                <w:u w:val="none"/>
                <w:lang w:val="en-US" w:eastAsia="zh-CN" w:bidi="ar"/>
              </w:rPr>
            </w:pPr>
            <w:r>
              <w:rPr>
                <w:rFonts w:hint="eastAsia" w:ascii="仿宋" w:hAnsi="仿宋" w:eastAsia="仿宋" w:cs="仿宋"/>
                <w:i w:val="0"/>
                <w:color w:val="auto"/>
                <w:kern w:val="0"/>
                <w:sz w:val="18"/>
                <w:szCs w:val="18"/>
                <w:highlight w:val="none"/>
                <w:u w:val="none"/>
                <w:lang w:val="en-US" w:eastAsia="zh-CN" w:bidi="ar"/>
              </w:rPr>
              <w:t>是/否（如填“是”，请简要说明规定内容）</w:t>
            </w:r>
          </w:p>
        </w:tc>
        <w:tc>
          <w:tcPr>
            <w:tcW w:w="2451" w:type="dxa"/>
            <w:noWrap w:val="0"/>
            <w:tcMar>
              <w:top w:w="12" w:type="dxa"/>
              <w:left w:w="12" w:type="dxa"/>
              <w:right w:w="12" w:type="dxa"/>
            </w:tcMar>
            <w:vAlign w:val="center"/>
          </w:tcPr>
          <w:p w14:paraId="7541827E">
            <w:pPr>
              <w:keepNext w:val="0"/>
              <w:keepLines w:val="0"/>
              <w:widowControl/>
              <w:suppressLineNumbers w:val="0"/>
              <w:jc w:val="center"/>
              <w:textAlignment w:val="center"/>
              <w:rPr>
                <w:rFonts w:hint="default" w:ascii="仿宋" w:hAnsi="仿宋" w:eastAsia="仿宋" w:cs="仿宋"/>
                <w:i w:val="0"/>
                <w:color w:val="auto"/>
                <w:kern w:val="0"/>
                <w:sz w:val="18"/>
                <w:szCs w:val="18"/>
                <w:highlight w:val="none"/>
                <w:u w:val="none"/>
                <w:lang w:val="en-US" w:eastAsia="zh-CN" w:bidi="ar"/>
              </w:rPr>
            </w:pPr>
          </w:p>
        </w:tc>
      </w:tr>
      <w:tr w14:paraId="620A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0" w:hRule="atLeast"/>
          <w:jc w:val="center"/>
        </w:trPr>
        <w:tc>
          <w:tcPr>
            <w:tcW w:w="1248" w:type="dxa"/>
            <w:vMerge w:val="continue"/>
            <w:noWrap w:val="0"/>
            <w:tcMar>
              <w:top w:w="12" w:type="dxa"/>
              <w:left w:w="12" w:type="dxa"/>
              <w:right w:w="12" w:type="dxa"/>
            </w:tcMar>
            <w:vAlign w:val="center"/>
          </w:tcPr>
          <w:p w14:paraId="79B29812">
            <w:pPr>
              <w:jc w:val="center"/>
              <w:rPr>
                <w:rFonts w:hint="eastAsia" w:ascii="仿宋" w:hAnsi="仿宋" w:eastAsia="仿宋" w:cs="仿宋"/>
                <w:b/>
                <w:bCs w:val="0"/>
                <w:i w:val="0"/>
                <w:color w:val="auto"/>
                <w:sz w:val="18"/>
                <w:szCs w:val="18"/>
                <w:highlight w:val="none"/>
                <w:u w:val="none"/>
              </w:rPr>
            </w:pPr>
          </w:p>
        </w:tc>
        <w:tc>
          <w:tcPr>
            <w:tcW w:w="1527" w:type="dxa"/>
            <w:vMerge w:val="restart"/>
            <w:noWrap w:val="0"/>
            <w:tcMar>
              <w:top w:w="12" w:type="dxa"/>
              <w:left w:w="12" w:type="dxa"/>
              <w:right w:w="12" w:type="dxa"/>
            </w:tcMar>
            <w:vAlign w:val="center"/>
          </w:tcPr>
          <w:p w14:paraId="32435730">
            <w:pPr>
              <w:keepNext w:val="0"/>
              <w:keepLines w:val="0"/>
              <w:widowControl/>
              <w:suppressLineNumbers w:val="0"/>
              <w:jc w:val="center"/>
              <w:textAlignment w:val="center"/>
              <w:rPr>
                <w:rFonts w:hint="eastAsia" w:ascii="仿宋" w:hAnsi="仿宋" w:eastAsia="仿宋" w:cs="仿宋"/>
                <w:b/>
                <w:bCs w:val="0"/>
                <w:i w:val="0"/>
                <w:color w:val="auto"/>
                <w:sz w:val="18"/>
                <w:szCs w:val="18"/>
                <w:highlight w:val="none"/>
                <w:u w:val="none"/>
              </w:rPr>
            </w:pPr>
            <w:r>
              <w:rPr>
                <w:rFonts w:hint="eastAsia" w:ascii="仿宋" w:hAnsi="仿宋" w:eastAsia="仿宋" w:cs="仿宋"/>
                <w:b/>
                <w:bCs w:val="0"/>
                <w:i w:val="0"/>
                <w:color w:val="auto"/>
                <w:kern w:val="0"/>
                <w:sz w:val="18"/>
                <w:szCs w:val="18"/>
                <w:highlight w:val="none"/>
                <w:u w:val="none"/>
                <w:lang w:val="en-US" w:eastAsia="zh-CN" w:bidi="ar"/>
              </w:rPr>
              <w:t>董事履职能力</w:t>
            </w:r>
          </w:p>
        </w:tc>
        <w:tc>
          <w:tcPr>
            <w:tcW w:w="4355" w:type="dxa"/>
            <w:noWrap w:val="0"/>
            <w:tcMar>
              <w:top w:w="12" w:type="dxa"/>
              <w:left w:w="12" w:type="dxa"/>
              <w:right w:w="12" w:type="dxa"/>
            </w:tcMar>
            <w:vAlign w:val="center"/>
          </w:tcPr>
          <w:p w14:paraId="63579EEB">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董事成员中是否包含具备其他上市公司履职经验的董事</w:t>
            </w:r>
          </w:p>
        </w:tc>
        <w:tc>
          <w:tcPr>
            <w:tcW w:w="4752" w:type="dxa"/>
            <w:noWrap w:val="0"/>
            <w:tcMar>
              <w:top w:w="12" w:type="dxa"/>
              <w:left w:w="12" w:type="dxa"/>
              <w:right w:w="12" w:type="dxa"/>
            </w:tcMar>
            <w:vAlign w:val="center"/>
          </w:tcPr>
          <w:p w14:paraId="12C8C91D">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是/否。（如填“是”，请简要说明此类董事的姓名和背景）</w:t>
            </w:r>
          </w:p>
        </w:tc>
        <w:tc>
          <w:tcPr>
            <w:tcW w:w="2451" w:type="dxa"/>
            <w:noWrap w:val="0"/>
            <w:tcMar>
              <w:top w:w="12" w:type="dxa"/>
              <w:left w:w="12" w:type="dxa"/>
              <w:right w:w="12" w:type="dxa"/>
            </w:tcMar>
            <w:vAlign w:val="center"/>
          </w:tcPr>
          <w:p w14:paraId="0ED51CB6">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52B1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jc w:val="center"/>
        </w:trPr>
        <w:tc>
          <w:tcPr>
            <w:tcW w:w="1248" w:type="dxa"/>
            <w:vMerge w:val="continue"/>
            <w:noWrap w:val="0"/>
            <w:tcMar>
              <w:top w:w="12" w:type="dxa"/>
              <w:left w:w="12" w:type="dxa"/>
              <w:right w:w="12" w:type="dxa"/>
            </w:tcMar>
            <w:vAlign w:val="center"/>
          </w:tcPr>
          <w:p w14:paraId="1FCBBFFF">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2B8B7FFB">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6D0FD37F">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董事成员中是否包含具备国际化经验的董事</w:t>
            </w:r>
          </w:p>
        </w:tc>
        <w:tc>
          <w:tcPr>
            <w:tcW w:w="4752" w:type="dxa"/>
            <w:noWrap w:val="0"/>
            <w:tcMar>
              <w:top w:w="12" w:type="dxa"/>
              <w:left w:w="12" w:type="dxa"/>
              <w:right w:w="12" w:type="dxa"/>
            </w:tcMar>
            <w:vAlign w:val="center"/>
          </w:tcPr>
          <w:p w14:paraId="79EC08BB">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是/否。（如填“是”，请简要说明此类董事的姓名和背景）</w:t>
            </w:r>
          </w:p>
        </w:tc>
        <w:tc>
          <w:tcPr>
            <w:tcW w:w="2451" w:type="dxa"/>
            <w:noWrap w:val="0"/>
            <w:tcMar>
              <w:top w:w="12" w:type="dxa"/>
              <w:left w:w="12" w:type="dxa"/>
              <w:right w:w="12" w:type="dxa"/>
            </w:tcMar>
            <w:vAlign w:val="center"/>
          </w:tcPr>
          <w:p w14:paraId="5001415E">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079FE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1248" w:type="dxa"/>
            <w:vMerge w:val="continue"/>
            <w:noWrap w:val="0"/>
            <w:tcMar>
              <w:top w:w="12" w:type="dxa"/>
              <w:left w:w="12" w:type="dxa"/>
              <w:right w:w="12" w:type="dxa"/>
            </w:tcMar>
            <w:vAlign w:val="center"/>
          </w:tcPr>
          <w:p w14:paraId="7C6F72A8">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08BF3DAA">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29BB82D0">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董事成员中是否包含具备法律/合规经验的董事</w:t>
            </w:r>
          </w:p>
        </w:tc>
        <w:tc>
          <w:tcPr>
            <w:tcW w:w="4752" w:type="dxa"/>
            <w:noWrap w:val="0"/>
            <w:tcMar>
              <w:top w:w="12" w:type="dxa"/>
              <w:left w:w="12" w:type="dxa"/>
              <w:right w:w="12" w:type="dxa"/>
            </w:tcMar>
            <w:vAlign w:val="center"/>
          </w:tcPr>
          <w:p w14:paraId="67128977">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是/否。（如填“是”，请简要说明此类董事的姓名和背景）</w:t>
            </w:r>
          </w:p>
        </w:tc>
        <w:tc>
          <w:tcPr>
            <w:tcW w:w="2451" w:type="dxa"/>
            <w:noWrap w:val="0"/>
            <w:tcMar>
              <w:top w:w="12" w:type="dxa"/>
              <w:left w:w="12" w:type="dxa"/>
              <w:right w:w="12" w:type="dxa"/>
            </w:tcMar>
            <w:vAlign w:val="center"/>
          </w:tcPr>
          <w:p w14:paraId="0CFC104D">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454D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jc w:val="center"/>
        </w:trPr>
        <w:tc>
          <w:tcPr>
            <w:tcW w:w="1248" w:type="dxa"/>
            <w:vMerge w:val="continue"/>
            <w:noWrap w:val="0"/>
            <w:tcMar>
              <w:top w:w="12" w:type="dxa"/>
              <w:left w:w="12" w:type="dxa"/>
              <w:right w:w="12" w:type="dxa"/>
            </w:tcMar>
            <w:vAlign w:val="center"/>
          </w:tcPr>
          <w:p w14:paraId="6FDABFF0">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7A400558">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413CBB70">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董事成员中是否包含具备投资专业技能的董事</w:t>
            </w:r>
          </w:p>
        </w:tc>
        <w:tc>
          <w:tcPr>
            <w:tcW w:w="4752" w:type="dxa"/>
            <w:noWrap w:val="0"/>
            <w:tcMar>
              <w:top w:w="12" w:type="dxa"/>
              <w:left w:w="12" w:type="dxa"/>
              <w:right w:w="12" w:type="dxa"/>
            </w:tcMar>
            <w:vAlign w:val="center"/>
          </w:tcPr>
          <w:p w14:paraId="256AAD28">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是/否。（如填“是”，请简要说明此类董事的姓名和背景）</w:t>
            </w:r>
          </w:p>
        </w:tc>
        <w:tc>
          <w:tcPr>
            <w:tcW w:w="2451" w:type="dxa"/>
            <w:noWrap w:val="0"/>
            <w:tcMar>
              <w:top w:w="12" w:type="dxa"/>
              <w:left w:w="12" w:type="dxa"/>
              <w:right w:w="12" w:type="dxa"/>
            </w:tcMar>
            <w:vAlign w:val="center"/>
          </w:tcPr>
          <w:p w14:paraId="6A1C57BF">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7681F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248" w:type="dxa"/>
            <w:vMerge w:val="continue"/>
            <w:noWrap w:val="0"/>
            <w:tcMar>
              <w:top w:w="12" w:type="dxa"/>
              <w:left w:w="12" w:type="dxa"/>
              <w:right w:w="12" w:type="dxa"/>
            </w:tcMar>
            <w:vAlign w:val="center"/>
          </w:tcPr>
          <w:p w14:paraId="4E5DAB64">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032823B4">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237AC91D">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董事成员中是否包含具备财务、会计或风险管理经验的董事</w:t>
            </w:r>
          </w:p>
        </w:tc>
        <w:tc>
          <w:tcPr>
            <w:tcW w:w="4752" w:type="dxa"/>
            <w:noWrap w:val="0"/>
            <w:tcMar>
              <w:top w:w="12" w:type="dxa"/>
              <w:left w:w="12" w:type="dxa"/>
              <w:right w:w="12" w:type="dxa"/>
            </w:tcMar>
            <w:vAlign w:val="center"/>
          </w:tcPr>
          <w:p w14:paraId="325C42B0">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是/否。（如填“是”，请简要说明此类董事的姓名和背景）</w:t>
            </w:r>
          </w:p>
        </w:tc>
        <w:tc>
          <w:tcPr>
            <w:tcW w:w="2451" w:type="dxa"/>
            <w:noWrap w:val="0"/>
            <w:tcMar>
              <w:top w:w="12" w:type="dxa"/>
              <w:left w:w="12" w:type="dxa"/>
              <w:right w:w="12" w:type="dxa"/>
            </w:tcMar>
            <w:vAlign w:val="center"/>
          </w:tcPr>
          <w:p w14:paraId="4961792A">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05E9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1248" w:type="dxa"/>
            <w:vMerge w:val="continue"/>
            <w:noWrap w:val="0"/>
            <w:tcMar>
              <w:top w:w="12" w:type="dxa"/>
              <w:left w:w="12" w:type="dxa"/>
              <w:right w:w="12" w:type="dxa"/>
            </w:tcMar>
            <w:vAlign w:val="center"/>
          </w:tcPr>
          <w:p w14:paraId="6BACA63C">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47BDF49A">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461C9C52">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公司或董事获得证券监管机构或其他国家机关、全国性自律组织表彰情况</w:t>
            </w:r>
          </w:p>
        </w:tc>
        <w:tc>
          <w:tcPr>
            <w:tcW w:w="4752" w:type="dxa"/>
            <w:noWrap w:val="0"/>
            <w:tcMar>
              <w:top w:w="12" w:type="dxa"/>
              <w:left w:w="12" w:type="dxa"/>
              <w:right w:w="12" w:type="dxa"/>
            </w:tcMar>
            <w:vAlign w:val="center"/>
          </w:tcPr>
          <w:p w14:paraId="2ED00C35">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是/否。（如填“是”，请简要说明表彰情况）</w:t>
            </w:r>
          </w:p>
        </w:tc>
        <w:tc>
          <w:tcPr>
            <w:tcW w:w="2451" w:type="dxa"/>
            <w:noWrap w:val="0"/>
            <w:tcMar>
              <w:top w:w="12" w:type="dxa"/>
              <w:left w:w="12" w:type="dxa"/>
              <w:right w:w="12" w:type="dxa"/>
            </w:tcMar>
            <w:vAlign w:val="center"/>
          </w:tcPr>
          <w:p w14:paraId="6E3FDD72">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1AD1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1248" w:type="dxa"/>
            <w:vMerge w:val="continue"/>
            <w:noWrap w:val="0"/>
            <w:tcMar>
              <w:top w:w="12" w:type="dxa"/>
              <w:left w:w="12" w:type="dxa"/>
              <w:right w:w="12" w:type="dxa"/>
            </w:tcMar>
            <w:vAlign w:val="center"/>
          </w:tcPr>
          <w:p w14:paraId="76BF2563">
            <w:pPr>
              <w:jc w:val="center"/>
              <w:rPr>
                <w:rFonts w:hint="eastAsia" w:ascii="仿宋" w:hAnsi="仿宋" w:eastAsia="仿宋" w:cs="仿宋"/>
                <w:b/>
                <w:bCs w:val="0"/>
                <w:i w:val="0"/>
                <w:color w:val="auto"/>
                <w:sz w:val="18"/>
                <w:szCs w:val="18"/>
                <w:highlight w:val="none"/>
                <w:u w:val="none"/>
              </w:rPr>
            </w:pPr>
          </w:p>
        </w:tc>
        <w:tc>
          <w:tcPr>
            <w:tcW w:w="1527" w:type="dxa"/>
            <w:vMerge w:val="restart"/>
            <w:noWrap w:val="0"/>
            <w:tcMar>
              <w:top w:w="12" w:type="dxa"/>
              <w:left w:w="12" w:type="dxa"/>
              <w:right w:w="12" w:type="dxa"/>
            </w:tcMar>
            <w:vAlign w:val="center"/>
          </w:tcPr>
          <w:p w14:paraId="1F543871">
            <w:pPr>
              <w:keepNext w:val="0"/>
              <w:keepLines w:val="0"/>
              <w:widowControl/>
              <w:suppressLineNumbers w:val="0"/>
              <w:jc w:val="center"/>
              <w:textAlignment w:val="center"/>
              <w:rPr>
                <w:rFonts w:hint="eastAsia" w:ascii="仿宋" w:hAnsi="仿宋" w:eastAsia="仿宋" w:cs="仿宋"/>
                <w:b/>
                <w:bCs w:val="0"/>
                <w:i w:val="0"/>
                <w:color w:val="auto"/>
                <w:sz w:val="18"/>
                <w:szCs w:val="18"/>
                <w:highlight w:val="none"/>
                <w:u w:val="none"/>
              </w:rPr>
            </w:pPr>
            <w:r>
              <w:rPr>
                <w:rFonts w:hint="eastAsia" w:ascii="仿宋" w:hAnsi="仿宋" w:eastAsia="仿宋" w:cs="仿宋"/>
                <w:b/>
                <w:bCs w:val="0"/>
                <w:i w:val="0"/>
                <w:color w:val="auto"/>
                <w:kern w:val="0"/>
                <w:sz w:val="18"/>
                <w:szCs w:val="18"/>
                <w:highlight w:val="none"/>
                <w:u w:val="none"/>
                <w:lang w:val="en-US" w:eastAsia="zh-CN" w:bidi="ar"/>
              </w:rPr>
              <w:t>董事履职保障</w:t>
            </w:r>
          </w:p>
        </w:tc>
        <w:tc>
          <w:tcPr>
            <w:tcW w:w="4355" w:type="dxa"/>
            <w:noWrap w:val="0"/>
            <w:tcMar>
              <w:top w:w="12" w:type="dxa"/>
              <w:left w:w="12" w:type="dxa"/>
              <w:right w:w="12" w:type="dxa"/>
            </w:tcMar>
            <w:vAlign w:val="center"/>
          </w:tcPr>
          <w:p w14:paraId="68DC50DD">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除董事会议事规则外，是否制订了其他董事履职内部制度</w:t>
            </w:r>
          </w:p>
        </w:tc>
        <w:tc>
          <w:tcPr>
            <w:tcW w:w="4752" w:type="dxa"/>
            <w:noWrap w:val="0"/>
            <w:tcMar>
              <w:top w:w="12" w:type="dxa"/>
              <w:left w:w="12" w:type="dxa"/>
              <w:right w:w="12" w:type="dxa"/>
            </w:tcMar>
            <w:vAlign w:val="center"/>
          </w:tcPr>
          <w:p w14:paraId="5C82F73B">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是/否。（如填“是”，请简要说明制度名称和内容）</w:t>
            </w:r>
          </w:p>
        </w:tc>
        <w:tc>
          <w:tcPr>
            <w:tcW w:w="2451" w:type="dxa"/>
            <w:noWrap w:val="0"/>
            <w:tcMar>
              <w:top w:w="12" w:type="dxa"/>
              <w:left w:w="12" w:type="dxa"/>
              <w:right w:w="12" w:type="dxa"/>
            </w:tcMar>
            <w:vAlign w:val="center"/>
          </w:tcPr>
          <w:p w14:paraId="72ADE224">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5BA3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1248" w:type="dxa"/>
            <w:vMerge w:val="continue"/>
            <w:noWrap w:val="0"/>
            <w:tcMar>
              <w:top w:w="12" w:type="dxa"/>
              <w:left w:w="12" w:type="dxa"/>
              <w:right w:w="12" w:type="dxa"/>
            </w:tcMar>
            <w:vAlign w:val="center"/>
          </w:tcPr>
          <w:p w14:paraId="0677AF49">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479092E5">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0FBA8F8F">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公司是否为董事购买董事履职责任险</w:t>
            </w:r>
          </w:p>
        </w:tc>
        <w:tc>
          <w:tcPr>
            <w:tcW w:w="4752" w:type="dxa"/>
            <w:noWrap w:val="0"/>
            <w:tcMar>
              <w:top w:w="12" w:type="dxa"/>
              <w:left w:w="12" w:type="dxa"/>
              <w:right w:w="12" w:type="dxa"/>
            </w:tcMar>
            <w:vAlign w:val="center"/>
          </w:tcPr>
          <w:p w14:paraId="4A8BE838">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是/否。（如填“是”，请简要说明责任险购买情况）</w:t>
            </w:r>
          </w:p>
        </w:tc>
        <w:tc>
          <w:tcPr>
            <w:tcW w:w="2451" w:type="dxa"/>
            <w:noWrap w:val="0"/>
            <w:tcMar>
              <w:top w:w="12" w:type="dxa"/>
              <w:left w:w="12" w:type="dxa"/>
              <w:right w:w="12" w:type="dxa"/>
            </w:tcMar>
            <w:vAlign w:val="center"/>
          </w:tcPr>
          <w:p w14:paraId="671347BD">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1691C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1248" w:type="dxa"/>
            <w:vMerge w:val="continue"/>
            <w:noWrap w:val="0"/>
            <w:tcMar>
              <w:top w:w="12" w:type="dxa"/>
              <w:left w:w="12" w:type="dxa"/>
              <w:right w:w="12" w:type="dxa"/>
            </w:tcMar>
            <w:vAlign w:val="center"/>
          </w:tcPr>
          <w:p w14:paraId="7C3C0442">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2D83821F">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35A4AC04">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公司是否定期或不定期为董事开展培训</w:t>
            </w:r>
          </w:p>
        </w:tc>
        <w:tc>
          <w:tcPr>
            <w:tcW w:w="4752" w:type="dxa"/>
            <w:noWrap w:val="0"/>
            <w:tcMar>
              <w:top w:w="12" w:type="dxa"/>
              <w:left w:w="12" w:type="dxa"/>
              <w:right w:w="12" w:type="dxa"/>
            </w:tcMar>
            <w:vAlign w:val="center"/>
          </w:tcPr>
          <w:p w14:paraId="35050E80">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是/否。（如填“是”，请简要说明评价期内培训情况）</w:t>
            </w:r>
          </w:p>
        </w:tc>
        <w:tc>
          <w:tcPr>
            <w:tcW w:w="2451" w:type="dxa"/>
            <w:noWrap w:val="0"/>
            <w:tcMar>
              <w:top w:w="12" w:type="dxa"/>
              <w:left w:w="12" w:type="dxa"/>
              <w:right w:w="12" w:type="dxa"/>
            </w:tcMar>
            <w:vAlign w:val="center"/>
          </w:tcPr>
          <w:p w14:paraId="6F9BB82F">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69D73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1248" w:type="dxa"/>
            <w:vMerge w:val="continue"/>
            <w:noWrap w:val="0"/>
            <w:tcMar>
              <w:top w:w="12" w:type="dxa"/>
              <w:left w:w="12" w:type="dxa"/>
              <w:right w:w="12" w:type="dxa"/>
            </w:tcMar>
            <w:vAlign w:val="center"/>
          </w:tcPr>
          <w:p w14:paraId="5B865CE6">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4442D2B0">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2BBD63EB">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设置专门工作机构，并配备专职工作人员的情况</w:t>
            </w:r>
          </w:p>
        </w:tc>
        <w:tc>
          <w:tcPr>
            <w:tcW w:w="4752" w:type="dxa"/>
            <w:noWrap w:val="0"/>
            <w:tcMar>
              <w:top w:w="12" w:type="dxa"/>
              <w:left w:w="12" w:type="dxa"/>
              <w:right w:w="12" w:type="dxa"/>
            </w:tcMar>
            <w:vAlign w:val="center"/>
          </w:tcPr>
          <w:p w14:paraId="5EBE5334">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是/否。（如填“是”，请简要说明工作机构名称和职责）</w:t>
            </w:r>
          </w:p>
        </w:tc>
        <w:tc>
          <w:tcPr>
            <w:tcW w:w="2451" w:type="dxa"/>
            <w:noWrap w:val="0"/>
            <w:tcMar>
              <w:top w:w="12" w:type="dxa"/>
              <w:left w:w="12" w:type="dxa"/>
              <w:right w:w="12" w:type="dxa"/>
            </w:tcMar>
            <w:vAlign w:val="center"/>
          </w:tcPr>
          <w:p w14:paraId="0C4B1392">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6EB40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248" w:type="dxa"/>
            <w:vMerge w:val="continue"/>
            <w:noWrap w:val="0"/>
            <w:tcMar>
              <w:top w:w="12" w:type="dxa"/>
              <w:left w:w="12" w:type="dxa"/>
              <w:right w:w="12" w:type="dxa"/>
            </w:tcMar>
            <w:vAlign w:val="center"/>
          </w:tcPr>
          <w:p w14:paraId="04B39905">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0B78ED7D">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58A119EC">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是否建立董事履职的评价体系</w:t>
            </w:r>
          </w:p>
        </w:tc>
        <w:tc>
          <w:tcPr>
            <w:tcW w:w="4752" w:type="dxa"/>
            <w:noWrap w:val="0"/>
            <w:tcMar>
              <w:top w:w="12" w:type="dxa"/>
              <w:left w:w="12" w:type="dxa"/>
              <w:right w:w="12" w:type="dxa"/>
            </w:tcMar>
            <w:vAlign w:val="center"/>
          </w:tcPr>
          <w:p w14:paraId="27B17AA6">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是/否。（如填“是”，请简要说明评价体系及执行情况）</w:t>
            </w:r>
          </w:p>
        </w:tc>
        <w:tc>
          <w:tcPr>
            <w:tcW w:w="2451" w:type="dxa"/>
            <w:noWrap w:val="0"/>
            <w:tcMar>
              <w:top w:w="12" w:type="dxa"/>
              <w:left w:w="12" w:type="dxa"/>
              <w:right w:w="12" w:type="dxa"/>
            </w:tcMar>
            <w:vAlign w:val="center"/>
          </w:tcPr>
          <w:p w14:paraId="61C19E50">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5B9FA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1248" w:type="dxa"/>
            <w:vMerge w:val="continue"/>
            <w:noWrap w:val="0"/>
            <w:tcMar>
              <w:top w:w="12" w:type="dxa"/>
              <w:left w:w="12" w:type="dxa"/>
              <w:right w:w="12" w:type="dxa"/>
            </w:tcMar>
            <w:vAlign w:val="center"/>
          </w:tcPr>
          <w:p w14:paraId="0BF66FB5">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398E6605">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0D790B2D">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是否建立针对董事的薪酬激励机制</w:t>
            </w:r>
          </w:p>
        </w:tc>
        <w:tc>
          <w:tcPr>
            <w:tcW w:w="4752" w:type="dxa"/>
            <w:noWrap w:val="0"/>
            <w:tcMar>
              <w:top w:w="12" w:type="dxa"/>
              <w:left w:w="12" w:type="dxa"/>
              <w:right w:w="12" w:type="dxa"/>
            </w:tcMar>
            <w:vAlign w:val="center"/>
          </w:tcPr>
          <w:p w14:paraId="0C152AFE">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是/否。（如填“是”，请简要说明董事薪酬的激励机制）</w:t>
            </w:r>
          </w:p>
        </w:tc>
        <w:tc>
          <w:tcPr>
            <w:tcW w:w="2451" w:type="dxa"/>
            <w:noWrap w:val="0"/>
            <w:tcMar>
              <w:top w:w="12" w:type="dxa"/>
              <w:left w:w="12" w:type="dxa"/>
              <w:right w:w="12" w:type="dxa"/>
            </w:tcMar>
            <w:vAlign w:val="center"/>
          </w:tcPr>
          <w:p w14:paraId="44540E7D">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12B5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jc w:val="center"/>
        </w:trPr>
        <w:tc>
          <w:tcPr>
            <w:tcW w:w="1248" w:type="dxa"/>
            <w:vMerge w:val="restart"/>
            <w:noWrap w:val="0"/>
            <w:tcMar>
              <w:top w:w="12" w:type="dxa"/>
              <w:left w:w="12" w:type="dxa"/>
              <w:right w:w="12" w:type="dxa"/>
            </w:tcMar>
            <w:vAlign w:val="center"/>
          </w:tcPr>
          <w:p w14:paraId="148862FC">
            <w:pPr>
              <w:keepNext w:val="0"/>
              <w:keepLines w:val="0"/>
              <w:widowControl/>
              <w:suppressLineNumbers w:val="0"/>
              <w:jc w:val="center"/>
              <w:textAlignment w:val="center"/>
              <w:rPr>
                <w:rFonts w:hint="eastAsia" w:ascii="仿宋" w:hAnsi="仿宋" w:eastAsia="仿宋" w:cs="仿宋"/>
                <w:b/>
                <w:bCs w:val="0"/>
                <w:i w:val="0"/>
                <w:color w:val="auto"/>
                <w:sz w:val="18"/>
                <w:szCs w:val="18"/>
                <w:highlight w:val="none"/>
                <w:u w:val="none"/>
              </w:rPr>
            </w:pPr>
            <w:r>
              <w:rPr>
                <w:rFonts w:hint="eastAsia" w:ascii="仿宋" w:hAnsi="仿宋" w:eastAsia="仿宋" w:cs="仿宋"/>
                <w:b/>
                <w:bCs w:val="0"/>
                <w:i w:val="0"/>
                <w:color w:val="auto"/>
                <w:kern w:val="0"/>
                <w:sz w:val="18"/>
                <w:szCs w:val="18"/>
                <w:highlight w:val="none"/>
                <w:u w:val="none"/>
                <w:lang w:val="en-US" w:eastAsia="zh-CN" w:bidi="ar"/>
              </w:rPr>
              <w:t>董事会运作情况</w:t>
            </w:r>
          </w:p>
        </w:tc>
        <w:tc>
          <w:tcPr>
            <w:tcW w:w="1527" w:type="dxa"/>
            <w:vMerge w:val="restart"/>
            <w:noWrap w:val="0"/>
            <w:tcMar>
              <w:top w:w="12" w:type="dxa"/>
              <w:left w:w="12" w:type="dxa"/>
              <w:right w:w="12" w:type="dxa"/>
            </w:tcMar>
            <w:vAlign w:val="center"/>
          </w:tcPr>
          <w:p w14:paraId="790E99A5">
            <w:pPr>
              <w:keepNext w:val="0"/>
              <w:keepLines w:val="0"/>
              <w:widowControl/>
              <w:suppressLineNumbers w:val="0"/>
              <w:jc w:val="center"/>
              <w:textAlignment w:val="center"/>
              <w:rPr>
                <w:rFonts w:hint="eastAsia" w:ascii="仿宋" w:hAnsi="仿宋" w:eastAsia="仿宋" w:cs="仿宋"/>
                <w:b/>
                <w:bCs w:val="0"/>
                <w:i w:val="0"/>
                <w:color w:val="auto"/>
                <w:sz w:val="18"/>
                <w:szCs w:val="18"/>
                <w:highlight w:val="none"/>
                <w:u w:val="none"/>
              </w:rPr>
            </w:pPr>
            <w:r>
              <w:rPr>
                <w:rFonts w:hint="eastAsia" w:ascii="仿宋" w:hAnsi="仿宋" w:eastAsia="仿宋" w:cs="仿宋"/>
                <w:b/>
                <w:bCs w:val="0"/>
                <w:i w:val="0"/>
                <w:color w:val="auto"/>
                <w:kern w:val="0"/>
                <w:sz w:val="18"/>
                <w:szCs w:val="18"/>
                <w:highlight w:val="none"/>
                <w:u w:val="none"/>
                <w:lang w:val="en-US" w:eastAsia="zh-CN" w:bidi="ar"/>
              </w:rPr>
              <w:t>独立董事履职情况</w:t>
            </w:r>
          </w:p>
        </w:tc>
        <w:tc>
          <w:tcPr>
            <w:tcW w:w="4355" w:type="dxa"/>
            <w:noWrap w:val="0"/>
            <w:tcMar>
              <w:top w:w="12" w:type="dxa"/>
              <w:left w:w="12" w:type="dxa"/>
              <w:right w:w="12" w:type="dxa"/>
            </w:tcMar>
            <w:vAlign w:val="center"/>
          </w:tcPr>
          <w:p w14:paraId="4DFFBB45">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独立董事成员中是否包含具备公司所处行业专业知识的独立董事</w:t>
            </w:r>
          </w:p>
        </w:tc>
        <w:tc>
          <w:tcPr>
            <w:tcW w:w="4752" w:type="dxa"/>
            <w:noWrap w:val="0"/>
            <w:tcMar>
              <w:top w:w="12" w:type="dxa"/>
              <w:left w:w="12" w:type="dxa"/>
              <w:right w:w="12" w:type="dxa"/>
            </w:tcMar>
            <w:vAlign w:val="center"/>
          </w:tcPr>
          <w:p w14:paraId="688A0FB6">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是/否。（如填“是”，请简要说明此类董事的姓名和专业背景）</w:t>
            </w:r>
          </w:p>
        </w:tc>
        <w:tc>
          <w:tcPr>
            <w:tcW w:w="2451" w:type="dxa"/>
            <w:noWrap w:val="0"/>
            <w:tcMar>
              <w:top w:w="12" w:type="dxa"/>
              <w:left w:w="12" w:type="dxa"/>
              <w:right w:w="12" w:type="dxa"/>
            </w:tcMar>
            <w:vAlign w:val="center"/>
          </w:tcPr>
          <w:p w14:paraId="6147742F">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5405D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6" w:hRule="atLeast"/>
          <w:jc w:val="center"/>
        </w:trPr>
        <w:tc>
          <w:tcPr>
            <w:tcW w:w="1248" w:type="dxa"/>
            <w:vMerge w:val="continue"/>
            <w:noWrap w:val="0"/>
            <w:tcMar>
              <w:top w:w="12" w:type="dxa"/>
              <w:left w:w="12" w:type="dxa"/>
              <w:right w:w="12" w:type="dxa"/>
            </w:tcMar>
            <w:vAlign w:val="center"/>
          </w:tcPr>
          <w:p w14:paraId="66316B3E">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13FA62B3">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12CBD5DF">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独立董事评价期内平均现场工作天数</w:t>
            </w:r>
          </w:p>
        </w:tc>
        <w:tc>
          <w:tcPr>
            <w:tcW w:w="4752" w:type="dxa"/>
            <w:noWrap w:val="0"/>
            <w:tcMar>
              <w:top w:w="12" w:type="dxa"/>
              <w:left w:w="12" w:type="dxa"/>
              <w:right w:w="12" w:type="dxa"/>
            </w:tcMar>
            <w:vAlign w:val="center"/>
          </w:tcPr>
          <w:p w14:paraId="7266AC29">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填写计算后的现场工作天数（如独立董事任职不满一年，按以下方式进行折算：现场履职天数/实际任职月份数*12个月）</w:t>
            </w:r>
          </w:p>
        </w:tc>
        <w:tc>
          <w:tcPr>
            <w:tcW w:w="2451" w:type="dxa"/>
            <w:noWrap w:val="0"/>
            <w:tcMar>
              <w:top w:w="12" w:type="dxa"/>
              <w:left w:w="12" w:type="dxa"/>
              <w:right w:w="12" w:type="dxa"/>
            </w:tcMar>
            <w:vAlign w:val="center"/>
          </w:tcPr>
          <w:p w14:paraId="2BEB981F">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238B8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jc w:val="center"/>
        </w:trPr>
        <w:tc>
          <w:tcPr>
            <w:tcW w:w="1248" w:type="dxa"/>
            <w:vMerge w:val="continue"/>
            <w:noWrap w:val="0"/>
            <w:tcMar>
              <w:top w:w="12" w:type="dxa"/>
              <w:left w:w="12" w:type="dxa"/>
              <w:right w:w="12" w:type="dxa"/>
            </w:tcMar>
            <w:vAlign w:val="center"/>
          </w:tcPr>
          <w:p w14:paraId="7DA79707">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38E80A07">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32050E69">
            <w:pPr>
              <w:keepNext w:val="0"/>
              <w:keepLines w:val="0"/>
              <w:widowControl/>
              <w:suppressLineNumbers w:val="0"/>
              <w:jc w:val="left"/>
              <w:textAlignment w:val="center"/>
              <w:rPr>
                <w:rFonts w:hint="eastAsia" w:ascii="仿宋" w:hAnsi="仿宋" w:eastAsia="仿宋" w:cs="仿宋"/>
                <w:i w:val="0"/>
                <w:color w:val="auto"/>
                <w:kern w:val="0"/>
                <w:sz w:val="18"/>
                <w:szCs w:val="18"/>
                <w:highlight w:val="none"/>
                <w:u w:val="none"/>
                <w:lang w:val="en-US" w:eastAsia="zh-CN" w:bidi="ar"/>
              </w:rPr>
            </w:pPr>
            <w:r>
              <w:rPr>
                <w:rFonts w:hint="eastAsia" w:ascii="仿宋" w:hAnsi="仿宋" w:eastAsia="仿宋" w:cs="仿宋"/>
                <w:i w:val="0"/>
                <w:color w:val="auto"/>
                <w:kern w:val="0"/>
                <w:sz w:val="18"/>
                <w:szCs w:val="18"/>
                <w:highlight w:val="none"/>
                <w:u w:val="none"/>
                <w:lang w:val="en-US" w:eastAsia="zh-CN" w:bidi="ar"/>
              </w:rPr>
              <w:t>除按规定出席股东大会、董事会及其专门委员会、独立董事专门会议外，独立董事是否采用了其他方式履行职责</w:t>
            </w:r>
          </w:p>
        </w:tc>
        <w:tc>
          <w:tcPr>
            <w:tcW w:w="4752" w:type="dxa"/>
            <w:noWrap w:val="0"/>
            <w:tcMar>
              <w:top w:w="12" w:type="dxa"/>
              <w:left w:w="12" w:type="dxa"/>
              <w:right w:w="12" w:type="dxa"/>
            </w:tcMar>
            <w:vAlign w:val="center"/>
          </w:tcPr>
          <w:p w14:paraId="04100307">
            <w:pPr>
              <w:keepNext w:val="0"/>
              <w:keepLines w:val="0"/>
              <w:widowControl/>
              <w:suppressLineNumbers w:val="0"/>
              <w:jc w:val="left"/>
              <w:textAlignment w:val="center"/>
              <w:rPr>
                <w:rFonts w:hint="eastAsia" w:ascii="仿宋" w:hAnsi="仿宋" w:eastAsia="仿宋" w:cs="仿宋"/>
                <w:i w:val="0"/>
                <w:color w:val="auto"/>
                <w:kern w:val="0"/>
                <w:sz w:val="18"/>
                <w:szCs w:val="18"/>
                <w:highlight w:val="none"/>
                <w:u w:val="none"/>
                <w:lang w:val="en-US" w:eastAsia="zh-CN" w:bidi="ar"/>
              </w:rPr>
            </w:pPr>
            <w:r>
              <w:rPr>
                <w:rFonts w:hint="eastAsia" w:ascii="仿宋" w:hAnsi="仿宋" w:eastAsia="仿宋" w:cs="仿宋"/>
                <w:i w:val="0"/>
                <w:color w:val="auto"/>
                <w:kern w:val="0"/>
                <w:sz w:val="18"/>
                <w:szCs w:val="18"/>
                <w:highlight w:val="none"/>
                <w:u w:val="none"/>
                <w:lang w:val="en-US" w:eastAsia="zh-CN" w:bidi="ar"/>
              </w:rPr>
              <w:t>是/否。（如填“是”，请简要说明具体方式及次数）</w:t>
            </w:r>
          </w:p>
        </w:tc>
        <w:tc>
          <w:tcPr>
            <w:tcW w:w="2451" w:type="dxa"/>
            <w:noWrap w:val="0"/>
            <w:tcMar>
              <w:top w:w="12" w:type="dxa"/>
              <w:left w:w="12" w:type="dxa"/>
              <w:right w:w="12" w:type="dxa"/>
            </w:tcMar>
            <w:vAlign w:val="center"/>
          </w:tcPr>
          <w:p w14:paraId="76D6E59E">
            <w:pPr>
              <w:keepNext w:val="0"/>
              <w:keepLines w:val="0"/>
              <w:widowControl/>
              <w:suppressLineNumbers w:val="0"/>
              <w:jc w:val="center"/>
              <w:textAlignment w:val="center"/>
              <w:rPr>
                <w:rFonts w:hint="default" w:ascii="仿宋" w:hAnsi="仿宋" w:eastAsia="仿宋" w:cs="仿宋"/>
                <w:i w:val="0"/>
                <w:color w:val="auto"/>
                <w:kern w:val="0"/>
                <w:sz w:val="18"/>
                <w:szCs w:val="18"/>
                <w:highlight w:val="none"/>
                <w:u w:val="none"/>
                <w:lang w:val="en-US" w:eastAsia="zh-CN" w:bidi="ar"/>
              </w:rPr>
            </w:pPr>
          </w:p>
        </w:tc>
      </w:tr>
      <w:tr w14:paraId="6C93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jc w:val="center"/>
        </w:trPr>
        <w:tc>
          <w:tcPr>
            <w:tcW w:w="1248" w:type="dxa"/>
            <w:vMerge w:val="continue"/>
            <w:noWrap w:val="0"/>
            <w:tcMar>
              <w:top w:w="12" w:type="dxa"/>
              <w:left w:w="12" w:type="dxa"/>
              <w:right w:w="12" w:type="dxa"/>
            </w:tcMar>
            <w:vAlign w:val="center"/>
          </w:tcPr>
          <w:p w14:paraId="3D803C56">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18A4000C">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72B62E8C">
            <w:pPr>
              <w:keepNext w:val="0"/>
              <w:keepLines w:val="0"/>
              <w:widowControl/>
              <w:suppressLineNumbers w:val="0"/>
              <w:jc w:val="left"/>
              <w:textAlignment w:val="center"/>
              <w:rPr>
                <w:rFonts w:hint="eastAsia" w:ascii="仿宋" w:hAnsi="仿宋" w:eastAsia="仿宋" w:cs="仿宋"/>
                <w:i w:val="0"/>
                <w:color w:val="auto"/>
                <w:kern w:val="0"/>
                <w:sz w:val="18"/>
                <w:szCs w:val="18"/>
                <w:highlight w:val="none"/>
                <w:u w:val="none"/>
                <w:lang w:val="en-US" w:eastAsia="zh-CN" w:bidi="ar"/>
              </w:rPr>
            </w:pPr>
            <w:r>
              <w:rPr>
                <w:rFonts w:hint="eastAsia" w:ascii="仿宋" w:hAnsi="仿宋" w:eastAsia="仿宋" w:cs="仿宋"/>
                <w:i w:val="0"/>
                <w:color w:val="auto"/>
                <w:kern w:val="0"/>
                <w:sz w:val="18"/>
                <w:szCs w:val="18"/>
                <w:highlight w:val="none"/>
                <w:u w:val="none"/>
                <w:lang w:val="en-US" w:eastAsia="zh-CN" w:bidi="ar"/>
              </w:rPr>
              <w:t>独立董事是否制作工作记录，详细记录履行职责的情况</w:t>
            </w:r>
          </w:p>
        </w:tc>
        <w:tc>
          <w:tcPr>
            <w:tcW w:w="4752" w:type="dxa"/>
            <w:noWrap w:val="0"/>
            <w:tcMar>
              <w:top w:w="12" w:type="dxa"/>
              <w:left w:w="12" w:type="dxa"/>
              <w:right w:w="12" w:type="dxa"/>
            </w:tcMar>
            <w:vAlign w:val="center"/>
          </w:tcPr>
          <w:p w14:paraId="23B40EE6">
            <w:pPr>
              <w:keepNext w:val="0"/>
              <w:keepLines w:val="0"/>
              <w:widowControl/>
              <w:suppressLineNumbers w:val="0"/>
              <w:jc w:val="left"/>
              <w:textAlignment w:val="center"/>
              <w:rPr>
                <w:rFonts w:hint="eastAsia" w:ascii="仿宋" w:hAnsi="仿宋" w:eastAsia="仿宋" w:cs="仿宋"/>
                <w:i w:val="0"/>
                <w:color w:val="auto"/>
                <w:kern w:val="0"/>
                <w:sz w:val="18"/>
                <w:szCs w:val="18"/>
                <w:highlight w:val="none"/>
                <w:u w:val="none"/>
                <w:lang w:val="en-US" w:eastAsia="zh-CN" w:bidi="ar"/>
              </w:rPr>
            </w:pPr>
            <w:r>
              <w:rPr>
                <w:rFonts w:hint="eastAsia" w:ascii="仿宋" w:hAnsi="仿宋" w:eastAsia="仿宋" w:cs="仿宋"/>
                <w:i w:val="0"/>
                <w:color w:val="auto"/>
                <w:kern w:val="0"/>
                <w:sz w:val="18"/>
                <w:szCs w:val="18"/>
                <w:highlight w:val="none"/>
                <w:u w:val="none"/>
                <w:lang w:val="en-US" w:eastAsia="zh-CN" w:bidi="ar"/>
              </w:rPr>
              <w:t>是/否。（如填“是”，请简要说明记录日期及对应内容）</w:t>
            </w:r>
          </w:p>
        </w:tc>
        <w:tc>
          <w:tcPr>
            <w:tcW w:w="2451" w:type="dxa"/>
            <w:noWrap w:val="0"/>
            <w:tcMar>
              <w:top w:w="12" w:type="dxa"/>
              <w:left w:w="12" w:type="dxa"/>
              <w:right w:w="12" w:type="dxa"/>
            </w:tcMar>
            <w:vAlign w:val="center"/>
          </w:tcPr>
          <w:p w14:paraId="455AAF7E">
            <w:pPr>
              <w:keepNext w:val="0"/>
              <w:keepLines w:val="0"/>
              <w:widowControl/>
              <w:suppressLineNumbers w:val="0"/>
              <w:jc w:val="center"/>
              <w:textAlignment w:val="center"/>
              <w:rPr>
                <w:rFonts w:hint="default" w:ascii="仿宋" w:hAnsi="仿宋" w:eastAsia="仿宋" w:cs="仿宋"/>
                <w:i w:val="0"/>
                <w:color w:val="auto"/>
                <w:kern w:val="0"/>
                <w:sz w:val="18"/>
                <w:szCs w:val="18"/>
                <w:highlight w:val="none"/>
                <w:u w:val="none"/>
                <w:lang w:val="en-US" w:eastAsia="zh-CN" w:bidi="ar"/>
              </w:rPr>
            </w:pPr>
          </w:p>
        </w:tc>
      </w:tr>
      <w:tr w14:paraId="2DACF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1248" w:type="dxa"/>
            <w:vMerge w:val="continue"/>
            <w:noWrap w:val="0"/>
            <w:tcMar>
              <w:top w:w="12" w:type="dxa"/>
              <w:left w:w="12" w:type="dxa"/>
              <w:right w:w="12" w:type="dxa"/>
            </w:tcMar>
            <w:vAlign w:val="center"/>
          </w:tcPr>
          <w:p w14:paraId="62A81017">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639F9EA5">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78EF766E">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独立董事平均兼任其他上市公司独立董事的数量</w:t>
            </w:r>
          </w:p>
        </w:tc>
        <w:tc>
          <w:tcPr>
            <w:tcW w:w="4752" w:type="dxa"/>
            <w:noWrap w:val="0"/>
            <w:tcMar>
              <w:top w:w="12" w:type="dxa"/>
              <w:left w:w="12" w:type="dxa"/>
              <w:right w:w="12" w:type="dxa"/>
            </w:tcMar>
            <w:vAlign w:val="center"/>
          </w:tcPr>
          <w:p w14:paraId="19C57B90">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填写数量</w:t>
            </w:r>
          </w:p>
        </w:tc>
        <w:tc>
          <w:tcPr>
            <w:tcW w:w="2451" w:type="dxa"/>
            <w:noWrap w:val="0"/>
            <w:tcMar>
              <w:top w:w="12" w:type="dxa"/>
              <w:left w:w="12" w:type="dxa"/>
              <w:right w:w="12" w:type="dxa"/>
            </w:tcMar>
            <w:vAlign w:val="center"/>
          </w:tcPr>
          <w:p w14:paraId="2DE73AC1">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7F653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jc w:val="center"/>
        </w:trPr>
        <w:tc>
          <w:tcPr>
            <w:tcW w:w="1248" w:type="dxa"/>
            <w:vMerge w:val="continue"/>
            <w:noWrap w:val="0"/>
            <w:tcMar>
              <w:top w:w="12" w:type="dxa"/>
              <w:left w:w="12" w:type="dxa"/>
              <w:right w:w="12" w:type="dxa"/>
            </w:tcMar>
            <w:vAlign w:val="center"/>
          </w:tcPr>
          <w:p w14:paraId="375B6143">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260EF449">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51F8774C">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独立董事平均年度津贴</w:t>
            </w:r>
          </w:p>
        </w:tc>
        <w:tc>
          <w:tcPr>
            <w:tcW w:w="4752" w:type="dxa"/>
            <w:noWrap w:val="0"/>
            <w:tcMar>
              <w:top w:w="12" w:type="dxa"/>
              <w:left w:w="12" w:type="dxa"/>
              <w:right w:w="12" w:type="dxa"/>
            </w:tcMar>
            <w:vAlign w:val="center"/>
          </w:tcPr>
          <w:p w14:paraId="379DBD2B">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填写津贴金额（万元）</w:t>
            </w:r>
          </w:p>
        </w:tc>
        <w:tc>
          <w:tcPr>
            <w:tcW w:w="2451" w:type="dxa"/>
            <w:noWrap w:val="0"/>
            <w:tcMar>
              <w:top w:w="12" w:type="dxa"/>
              <w:left w:w="12" w:type="dxa"/>
              <w:right w:w="12" w:type="dxa"/>
            </w:tcMar>
            <w:vAlign w:val="center"/>
          </w:tcPr>
          <w:p w14:paraId="7EBB2285">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5D602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1248" w:type="dxa"/>
            <w:vMerge w:val="continue"/>
            <w:noWrap w:val="0"/>
            <w:tcMar>
              <w:top w:w="12" w:type="dxa"/>
              <w:left w:w="12" w:type="dxa"/>
              <w:right w:w="12" w:type="dxa"/>
            </w:tcMar>
            <w:vAlign w:val="center"/>
          </w:tcPr>
          <w:p w14:paraId="773FA254">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32FD64C4">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415F2458">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评价期内是否存在独立董事连续任职超过6年的情况</w:t>
            </w:r>
          </w:p>
        </w:tc>
        <w:tc>
          <w:tcPr>
            <w:tcW w:w="4752" w:type="dxa"/>
            <w:noWrap w:val="0"/>
            <w:tcMar>
              <w:top w:w="12" w:type="dxa"/>
              <w:left w:w="12" w:type="dxa"/>
              <w:right w:w="12" w:type="dxa"/>
            </w:tcMar>
            <w:vAlign w:val="center"/>
          </w:tcPr>
          <w:p w14:paraId="500D5A82">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是/否。（如填“是”，请填写现任独立董事连续任职期限情况）</w:t>
            </w:r>
          </w:p>
        </w:tc>
        <w:tc>
          <w:tcPr>
            <w:tcW w:w="2451" w:type="dxa"/>
            <w:noWrap w:val="0"/>
            <w:tcMar>
              <w:top w:w="12" w:type="dxa"/>
              <w:left w:w="12" w:type="dxa"/>
              <w:right w:w="12" w:type="dxa"/>
            </w:tcMar>
            <w:vAlign w:val="center"/>
          </w:tcPr>
          <w:p w14:paraId="690F381B">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0B3E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1248" w:type="dxa"/>
            <w:vMerge w:val="continue"/>
            <w:noWrap w:val="0"/>
            <w:tcMar>
              <w:top w:w="12" w:type="dxa"/>
              <w:left w:w="12" w:type="dxa"/>
              <w:right w:w="12" w:type="dxa"/>
            </w:tcMar>
            <w:vAlign w:val="center"/>
          </w:tcPr>
          <w:p w14:paraId="69464224">
            <w:pPr>
              <w:jc w:val="center"/>
              <w:rPr>
                <w:rFonts w:hint="eastAsia" w:ascii="仿宋" w:hAnsi="仿宋" w:eastAsia="仿宋" w:cs="仿宋"/>
                <w:b/>
                <w:bCs w:val="0"/>
                <w:i w:val="0"/>
                <w:color w:val="auto"/>
                <w:sz w:val="18"/>
                <w:szCs w:val="18"/>
                <w:highlight w:val="none"/>
                <w:u w:val="none"/>
              </w:rPr>
            </w:pPr>
          </w:p>
        </w:tc>
        <w:tc>
          <w:tcPr>
            <w:tcW w:w="1527" w:type="dxa"/>
            <w:vMerge w:val="restart"/>
            <w:noWrap w:val="0"/>
            <w:tcMar>
              <w:top w:w="12" w:type="dxa"/>
              <w:left w:w="12" w:type="dxa"/>
              <w:right w:w="12" w:type="dxa"/>
            </w:tcMar>
            <w:vAlign w:val="center"/>
          </w:tcPr>
          <w:p w14:paraId="13C03424">
            <w:pPr>
              <w:keepNext w:val="0"/>
              <w:keepLines w:val="0"/>
              <w:widowControl/>
              <w:suppressLineNumbers w:val="0"/>
              <w:jc w:val="center"/>
              <w:textAlignment w:val="center"/>
              <w:rPr>
                <w:rFonts w:hint="eastAsia" w:ascii="仿宋" w:hAnsi="仿宋" w:eastAsia="仿宋" w:cs="仿宋"/>
                <w:b/>
                <w:bCs w:val="0"/>
                <w:i w:val="0"/>
                <w:color w:val="auto"/>
                <w:sz w:val="18"/>
                <w:szCs w:val="18"/>
                <w:highlight w:val="none"/>
                <w:u w:val="none"/>
              </w:rPr>
            </w:pPr>
            <w:r>
              <w:rPr>
                <w:rFonts w:hint="eastAsia" w:ascii="仿宋" w:hAnsi="仿宋" w:eastAsia="仿宋" w:cs="仿宋"/>
                <w:b/>
                <w:bCs w:val="0"/>
                <w:i w:val="0"/>
                <w:color w:val="auto"/>
                <w:kern w:val="0"/>
                <w:sz w:val="18"/>
                <w:szCs w:val="18"/>
                <w:highlight w:val="none"/>
                <w:u w:val="none"/>
                <w:lang w:val="en-US" w:eastAsia="zh-CN" w:bidi="ar"/>
              </w:rPr>
              <w:t>董事会会议情况</w:t>
            </w:r>
          </w:p>
        </w:tc>
        <w:tc>
          <w:tcPr>
            <w:tcW w:w="4355" w:type="dxa"/>
            <w:noWrap w:val="0"/>
            <w:tcMar>
              <w:top w:w="12" w:type="dxa"/>
              <w:left w:w="12" w:type="dxa"/>
              <w:right w:w="12" w:type="dxa"/>
            </w:tcMar>
            <w:vAlign w:val="center"/>
          </w:tcPr>
          <w:p w14:paraId="41825981">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评价期内董事会召开次数</w:t>
            </w:r>
          </w:p>
        </w:tc>
        <w:tc>
          <w:tcPr>
            <w:tcW w:w="4752" w:type="dxa"/>
            <w:noWrap w:val="0"/>
            <w:tcMar>
              <w:top w:w="12" w:type="dxa"/>
              <w:left w:w="12" w:type="dxa"/>
              <w:right w:w="12" w:type="dxa"/>
            </w:tcMar>
            <w:vAlign w:val="center"/>
          </w:tcPr>
          <w:p w14:paraId="1E6FFE41">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填写次数</w:t>
            </w:r>
          </w:p>
        </w:tc>
        <w:tc>
          <w:tcPr>
            <w:tcW w:w="2451" w:type="dxa"/>
            <w:noWrap w:val="0"/>
            <w:tcMar>
              <w:top w:w="12" w:type="dxa"/>
              <w:left w:w="12" w:type="dxa"/>
              <w:right w:w="12" w:type="dxa"/>
            </w:tcMar>
            <w:vAlign w:val="center"/>
          </w:tcPr>
          <w:p w14:paraId="7656A268">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084D7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1248" w:type="dxa"/>
            <w:vMerge w:val="continue"/>
            <w:noWrap w:val="0"/>
            <w:tcMar>
              <w:top w:w="12" w:type="dxa"/>
              <w:left w:w="12" w:type="dxa"/>
              <w:right w:w="12" w:type="dxa"/>
            </w:tcMar>
            <w:vAlign w:val="center"/>
          </w:tcPr>
          <w:p w14:paraId="45170BAA">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70C73E41">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4E56B366">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评价期内董事缺席董事会的人次</w:t>
            </w:r>
          </w:p>
        </w:tc>
        <w:tc>
          <w:tcPr>
            <w:tcW w:w="4752" w:type="dxa"/>
            <w:noWrap w:val="0"/>
            <w:tcMar>
              <w:top w:w="12" w:type="dxa"/>
              <w:left w:w="12" w:type="dxa"/>
              <w:right w:w="12" w:type="dxa"/>
            </w:tcMar>
            <w:vAlign w:val="center"/>
          </w:tcPr>
          <w:p w14:paraId="6E7A776E">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填写人次数</w:t>
            </w:r>
          </w:p>
        </w:tc>
        <w:tc>
          <w:tcPr>
            <w:tcW w:w="2451" w:type="dxa"/>
            <w:noWrap w:val="0"/>
            <w:tcMar>
              <w:top w:w="12" w:type="dxa"/>
              <w:left w:w="12" w:type="dxa"/>
              <w:right w:w="12" w:type="dxa"/>
            </w:tcMar>
            <w:vAlign w:val="center"/>
          </w:tcPr>
          <w:p w14:paraId="1E1667AD">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3524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1248" w:type="dxa"/>
            <w:vMerge w:val="continue"/>
            <w:noWrap w:val="0"/>
            <w:tcMar>
              <w:top w:w="12" w:type="dxa"/>
              <w:left w:w="12" w:type="dxa"/>
              <w:right w:w="12" w:type="dxa"/>
            </w:tcMar>
            <w:vAlign w:val="center"/>
          </w:tcPr>
          <w:p w14:paraId="37DAB2E7">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7C282C94">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30CE338E">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评价期内无法形成董事会决议的次数</w:t>
            </w:r>
          </w:p>
        </w:tc>
        <w:tc>
          <w:tcPr>
            <w:tcW w:w="4752" w:type="dxa"/>
            <w:noWrap w:val="0"/>
            <w:tcMar>
              <w:top w:w="12" w:type="dxa"/>
              <w:left w:w="12" w:type="dxa"/>
              <w:right w:w="12" w:type="dxa"/>
            </w:tcMar>
            <w:vAlign w:val="center"/>
          </w:tcPr>
          <w:p w14:paraId="3B53EE0C">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填写次数</w:t>
            </w:r>
          </w:p>
        </w:tc>
        <w:tc>
          <w:tcPr>
            <w:tcW w:w="2451" w:type="dxa"/>
            <w:noWrap w:val="0"/>
            <w:tcMar>
              <w:top w:w="12" w:type="dxa"/>
              <w:left w:w="12" w:type="dxa"/>
              <w:right w:w="12" w:type="dxa"/>
            </w:tcMar>
            <w:vAlign w:val="center"/>
          </w:tcPr>
          <w:p w14:paraId="53859659">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6B9E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1248" w:type="dxa"/>
            <w:vMerge w:val="continue"/>
            <w:noWrap w:val="0"/>
            <w:tcMar>
              <w:top w:w="12" w:type="dxa"/>
              <w:left w:w="12" w:type="dxa"/>
              <w:right w:w="12" w:type="dxa"/>
            </w:tcMar>
            <w:vAlign w:val="center"/>
          </w:tcPr>
          <w:p w14:paraId="782954BB">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5D50365E">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7E45B123">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评价期内存在反对、弃权议案的董事会次数</w:t>
            </w:r>
          </w:p>
        </w:tc>
        <w:tc>
          <w:tcPr>
            <w:tcW w:w="4752" w:type="dxa"/>
            <w:noWrap w:val="0"/>
            <w:tcMar>
              <w:top w:w="12" w:type="dxa"/>
              <w:left w:w="12" w:type="dxa"/>
              <w:right w:w="12" w:type="dxa"/>
            </w:tcMar>
            <w:vAlign w:val="center"/>
          </w:tcPr>
          <w:p w14:paraId="212C0BAC">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填写次数</w:t>
            </w:r>
          </w:p>
        </w:tc>
        <w:tc>
          <w:tcPr>
            <w:tcW w:w="2451" w:type="dxa"/>
            <w:noWrap w:val="0"/>
            <w:tcMar>
              <w:top w:w="12" w:type="dxa"/>
              <w:left w:w="12" w:type="dxa"/>
              <w:right w:w="12" w:type="dxa"/>
            </w:tcMar>
            <w:vAlign w:val="center"/>
          </w:tcPr>
          <w:p w14:paraId="10C8C61E">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18D7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1248" w:type="dxa"/>
            <w:vMerge w:val="continue"/>
            <w:noWrap w:val="0"/>
            <w:tcMar>
              <w:top w:w="12" w:type="dxa"/>
              <w:left w:w="12" w:type="dxa"/>
              <w:right w:w="12" w:type="dxa"/>
            </w:tcMar>
            <w:vAlign w:val="center"/>
          </w:tcPr>
          <w:p w14:paraId="7A21E67C">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18D0F0B0">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41D93334">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评价期内是否存在2名及以上独立董事认为资料不完整或者论证不充分并提出联名书面延期请求</w:t>
            </w:r>
          </w:p>
        </w:tc>
        <w:tc>
          <w:tcPr>
            <w:tcW w:w="4752" w:type="dxa"/>
            <w:noWrap w:val="0"/>
            <w:tcMar>
              <w:top w:w="12" w:type="dxa"/>
              <w:left w:w="12" w:type="dxa"/>
              <w:right w:w="12" w:type="dxa"/>
            </w:tcMar>
            <w:vAlign w:val="center"/>
          </w:tcPr>
          <w:p w14:paraId="657DF0E5">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w:t>
            </w:r>
          </w:p>
        </w:tc>
        <w:tc>
          <w:tcPr>
            <w:tcW w:w="2451" w:type="dxa"/>
            <w:noWrap w:val="0"/>
            <w:tcMar>
              <w:top w:w="12" w:type="dxa"/>
              <w:left w:w="12" w:type="dxa"/>
              <w:right w:w="12" w:type="dxa"/>
            </w:tcMar>
            <w:vAlign w:val="center"/>
          </w:tcPr>
          <w:p w14:paraId="463AB1BA">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7CDE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1248" w:type="dxa"/>
            <w:vMerge w:val="continue"/>
            <w:noWrap w:val="0"/>
            <w:tcMar>
              <w:top w:w="12" w:type="dxa"/>
              <w:left w:w="12" w:type="dxa"/>
              <w:right w:w="12" w:type="dxa"/>
            </w:tcMar>
            <w:vAlign w:val="center"/>
          </w:tcPr>
          <w:p w14:paraId="3B73CDBC">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181F0ED5">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630C0E90">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评价期内涉及公司董事会决议被申请撤销或者宣告无效的诉讼次数</w:t>
            </w:r>
          </w:p>
        </w:tc>
        <w:tc>
          <w:tcPr>
            <w:tcW w:w="4752" w:type="dxa"/>
            <w:noWrap w:val="0"/>
            <w:tcMar>
              <w:top w:w="12" w:type="dxa"/>
              <w:left w:w="12" w:type="dxa"/>
              <w:right w:w="12" w:type="dxa"/>
            </w:tcMar>
            <w:vAlign w:val="center"/>
          </w:tcPr>
          <w:p w14:paraId="69F866CF">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填写次数</w:t>
            </w:r>
          </w:p>
        </w:tc>
        <w:tc>
          <w:tcPr>
            <w:tcW w:w="2451" w:type="dxa"/>
            <w:noWrap w:val="0"/>
            <w:tcMar>
              <w:top w:w="12" w:type="dxa"/>
              <w:left w:w="12" w:type="dxa"/>
              <w:right w:w="12" w:type="dxa"/>
            </w:tcMar>
            <w:vAlign w:val="center"/>
          </w:tcPr>
          <w:p w14:paraId="779E2A6E">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50350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1248" w:type="dxa"/>
            <w:vMerge w:val="continue"/>
            <w:noWrap w:val="0"/>
            <w:tcMar>
              <w:top w:w="12" w:type="dxa"/>
              <w:left w:w="12" w:type="dxa"/>
              <w:right w:w="12" w:type="dxa"/>
            </w:tcMar>
            <w:vAlign w:val="center"/>
          </w:tcPr>
          <w:p w14:paraId="534CB8D3">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49028C2E">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6ABB8936">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评价期内是否存在董事会的召集、召开违反相关规定或决策程序的</w:t>
            </w:r>
          </w:p>
        </w:tc>
        <w:tc>
          <w:tcPr>
            <w:tcW w:w="4752" w:type="dxa"/>
            <w:noWrap w:val="0"/>
            <w:tcMar>
              <w:top w:w="12" w:type="dxa"/>
              <w:left w:w="12" w:type="dxa"/>
              <w:right w:w="12" w:type="dxa"/>
            </w:tcMar>
            <w:vAlign w:val="center"/>
          </w:tcPr>
          <w:p w14:paraId="0FB11C2E">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w:t>
            </w:r>
          </w:p>
        </w:tc>
        <w:tc>
          <w:tcPr>
            <w:tcW w:w="2451" w:type="dxa"/>
            <w:noWrap w:val="0"/>
            <w:tcMar>
              <w:top w:w="12" w:type="dxa"/>
              <w:left w:w="12" w:type="dxa"/>
              <w:right w:w="12" w:type="dxa"/>
            </w:tcMar>
            <w:vAlign w:val="center"/>
          </w:tcPr>
          <w:p w14:paraId="488AC3EF">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1B823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1248" w:type="dxa"/>
            <w:vMerge w:val="continue"/>
            <w:noWrap w:val="0"/>
            <w:tcMar>
              <w:top w:w="12" w:type="dxa"/>
              <w:left w:w="12" w:type="dxa"/>
              <w:right w:w="12" w:type="dxa"/>
            </w:tcMar>
            <w:vAlign w:val="center"/>
          </w:tcPr>
          <w:p w14:paraId="18E22D65">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68E5B814">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2498D7D2">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评价期内是否每次董事会都有会议记录，详细记录发言要点并由参会董事签字确认</w:t>
            </w:r>
          </w:p>
        </w:tc>
        <w:tc>
          <w:tcPr>
            <w:tcW w:w="4752" w:type="dxa"/>
            <w:noWrap w:val="0"/>
            <w:tcMar>
              <w:top w:w="12" w:type="dxa"/>
              <w:left w:w="12" w:type="dxa"/>
              <w:right w:w="12" w:type="dxa"/>
            </w:tcMar>
            <w:vAlign w:val="center"/>
          </w:tcPr>
          <w:p w14:paraId="3FFC6E9C">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是/否。（如填“是”，请简要说明会议记录次数）</w:t>
            </w:r>
          </w:p>
        </w:tc>
        <w:tc>
          <w:tcPr>
            <w:tcW w:w="2451" w:type="dxa"/>
            <w:noWrap w:val="0"/>
            <w:tcMar>
              <w:top w:w="12" w:type="dxa"/>
              <w:left w:w="12" w:type="dxa"/>
              <w:right w:w="12" w:type="dxa"/>
            </w:tcMar>
            <w:vAlign w:val="center"/>
          </w:tcPr>
          <w:p w14:paraId="0CA31B07">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5FCAD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1248" w:type="dxa"/>
            <w:vMerge w:val="continue"/>
            <w:noWrap w:val="0"/>
            <w:tcMar>
              <w:top w:w="12" w:type="dxa"/>
              <w:left w:w="12" w:type="dxa"/>
              <w:right w:w="12" w:type="dxa"/>
            </w:tcMar>
            <w:vAlign w:val="center"/>
          </w:tcPr>
          <w:p w14:paraId="760290C9">
            <w:pPr>
              <w:jc w:val="center"/>
              <w:rPr>
                <w:rFonts w:hint="eastAsia" w:ascii="仿宋" w:hAnsi="仿宋" w:eastAsia="仿宋" w:cs="仿宋"/>
                <w:b/>
                <w:bCs w:val="0"/>
                <w:i w:val="0"/>
                <w:color w:val="auto"/>
                <w:sz w:val="18"/>
                <w:szCs w:val="18"/>
                <w:highlight w:val="none"/>
                <w:u w:val="none"/>
              </w:rPr>
            </w:pPr>
          </w:p>
        </w:tc>
        <w:tc>
          <w:tcPr>
            <w:tcW w:w="1527" w:type="dxa"/>
            <w:vMerge w:val="restart"/>
            <w:noWrap w:val="0"/>
            <w:tcMar>
              <w:top w:w="12" w:type="dxa"/>
              <w:left w:w="12" w:type="dxa"/>
              <w:right w:w="12" w:type="dxa"/>
            </w:tcMar>
            <w:vAlign w:val="center"/>
          </w:tcPr>
          <w:p w14:paraId="23DB8D0A">
            <w:pPr>
              <w:keepNext w:val="0"/>
              <w:keepLines w:val="0"/>
              <w:widowControl/>
              <w:suppressLineNumbers w:val="0"/>
              <w:jc w:val="center"/>
              <w:textAlignment w:val="center"/>
              <w:rPr>
                <w:rFonts w:hint="eastAsia" w:ascii="仿宋" w:hAnsi="仿宋" w:eastAsia="仿宋" w:cs="仿宋"/>
                <w:b/>
                <w:bCs w:val="0"/>
                <w:i w:val="0"/>
                <w:color w:val="auto"/>
                <w:sz w:val="18"/>
                <w:szCs w:val="18"/>
                <w:highlight w:val="none"/>
                <w:u w:val="none"/>
              </w:rPr>
            </w:pPr>
            <w:r>
              <w:rPr>
                <w:rFonts w:hint="eastAsia" w:ascii="仿宋" w:hAnsi="仿宋" w:eastAsia="仿宋" w:cs="仿宋"/>
                <w:b/>
                <w:bCs w:val="0"/>
                <w:i w:val="0"/>
                <w:color w:val="auto"/>
                <w:kern w:val="0"/>
                <w:sz w:val="18"/>
                <w:szCs w:val="18"/>
                <w:highlight w:val="none"/>
                <w:u w:val="none"/>
                <w:lang w:val="en-US" w:eastAsia="zh-CN" w:bidi="ar"/>
              </w:rPr>
              <w:t>专门委员会履职情况</w:t>
            </w:r>
          </w:p>
        </w:tc>
        <w:tc>
          <w:tcPr>
            <w:tcW w:w="4355" w:type="dxa"/>
            <w:noWrap w:val="0"/>
            <w:tcMar>
              <w:top w:w="12" w:type="dxa"/>
              <w:left w:w="12" w:type="dxa"/>
              <w:right w:w="12" w:type="dxa"/>
            </w:tcMar>
            <w:vAlign w:val="center"/>
          </w:tcPr>
          <w:p w14:paraId="4CF8DC79">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是否设立了审计委员会</w:t>
            </w:r>
          </w:p>
        </w:tc>
        <w:tc>
          <w:tcPr>
            <w:tcW w:w="4752" w:type="dxa"/>
            <w:noWrap w:val="0"/>
            <w:tcMar>
              <w:top w:w="12" w:type="dxa"/>
              <w:left w:w="12" w:type="dxa"/>
              <w:right w:w="12" w:type="dxa"/>
            </w:tcMar>
            <w:vAlign w:val="center"/>
          </w:tcPr>
          <w:p w14:paraId="73A8383A">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是/否。（如填“是”，请简要说明审计委员会的设立情况）</w:t>
            </w:r>
          </w:p>
        </w:tc>
        <w:tc>
          <w:tcPr>
            <w:tcW w:w="2451" w:type="dxa"/>
            <w:noWrap w:val="0"/>
            <w:tcMar>
              <w:top w:w="12" w:type="dxa"/>
              <w:left w:w="12" w:type="dxa"/>
              <w:right w:w="12" w:type="dxa"/>
            </w:tcMar>
            <w:vAlign w:val="center"/>
          </w:tcPr>
          <w:p w14:paraId="564554F8">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712CE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1248" w:type="dxa"/>
            <w:vMerge w:val="continue"/>
            <w:noWrap w:val="0"/>
            <w:tcMar>
              <w:top w:w="12" w:type="dxa"/>
              <w:left w:w="12" w:type="dxa"/>
              <w:right w:w="12" w:type="dxa"/>
            </w:tcMar>
            <w:vAlign w:val="center"/>
          </w:tcPr>
          <w:p w14:paraId="1BC646D1">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1A61C658">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5656935B">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是否设立了薪酬、提名、战略委员会</w:t>
            </w:r>
          </w:p>
        </w:tc>
        <w:tc>
          <w:tcPr>
            <w:tcW w:w="4752" w:type="dxa"/>
            <w:noWrap w:val="0"/>
            <w:tcMar>
              <w:top w:w="12" w:type="dxa"/>
              <w:left w:w="12" w:type="dxa"/>
              <w:right w:w="12" w:type="dxa"/>
            </w:tcMar>
            <w:vAlign w:val="center"/>
          </w:tcPr>
          <w:p w14:paraId="09613BA8">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是/否。（如填“是”，请简要说明专门委员会的设立情况）</w:t>
            </w:r>
          </w:p>
        </w:tc>
        <w:tc>
          <w:tcPr>
            <w:tcW w:w="2451" w:type="dxa"/>
            <w:noWrap w:val="0"/>
            <w:tcMar>
              <w:top w:w="12" w:type="dxa"/>
              <w:left w:w="12" w:type="dxa"/>
              <w:right w:w="12" w:type="dxa"/>
            </w:tcMar>
            <w:vAlign w:val="center"/>
          </w:tcPr>
          <w:p w14:paraId="24B032AE">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27A8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1248" w:type="dxa"/>
            <w:vMerge w:val="continue"/>
            <w:noWrap w:val="0"/>
            <w:tcMar>
              <w:top w:w="12" w:type="dxa"/>
              <w:left w:w="12" w:type="dxa"/>
              <w:right w:w="12" w:type="dxa"/>
            </w:tcMar>
            <w:vAlign w:val="center"/>
          </w:tcPr>
          <w:p w14:paraId="59B96EC5">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4660DA60">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1756218B">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除以上四个外，是否设立了其他专门委员会</w:t>
            </w:r>
          </w:p>
        </w:tc>
        <w:tc>
          <w:tcPr>
            <w:tcW w:w="4752" w:type="dxa"/>
            <w:noWrap w:val="0"/>
            <w:tcMar>
              <w:top w:w="12" w:type="dxa"/>
              <w:left w:w="12" w:type="dxa"/>
              <w:right w:w="12" w:type="dxa"/>
            </w:tcMar>
            <w:vAlign w:val="center"/>
          </w:tcPr>
          <w:p w14:paraId="4A065D5B">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是/否。（如填“是”，请简要说明其他专门委员会名称及职能）</w:t>
            </w:r>
          </w:p>
        </w:tc>
        <w:tc>
          <w:tcPr>
            <w:tcW w:w="2451" w:type="dxa"/>
            <w:noWrap w:val="0"/>
            <w:tcMar>
              <w:top w:w="12" w:type="dxa"/>
              <w:left w:w="12" w:type="dxa"/>
              <w:right w:w="12" w:type="dxa"/>
            </w:tcMar>
            <w:vAlign w:val="center"/>
          </w:tcPr>
          <w:p w14:paraId="0C71621C">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3BDA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1248" w:type="dxa"/>
            <w:vMerge w:val="continue"/>
            <w:noWrap w:val="0"/>
            <w:tcMar>
              <w:top w:w="12" w:type="dxa"/>
              <w:left w:w="12" w:type="dxa"/>
              <w:right w:w="12" w:type="dxa"/>
            </w:tcMar>
            <w:vAlign w:val="center"/>
          </w:tcPr>
          <w:p w14:paraId="3B2C04CF">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2E87F441">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662EA240">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各专门委员会是否制定了相应的内部工作制度</w:t>
            </w:r>
          </w:p>
        </w:tc>
        <w:tc>
          <w:tcPr>
            <w:tcW w:w="4752" w:type="dxa"/>
            <w:noWrap w:val="0"/>
            <w:tcMar>
              <w:top w:w="12" w:type="dxa"/>
              <w:left w:w="12" w:type="dxa"/>
              <w:right w:w="12" w:type="dxa"/>
            </w:tcMar>
            <w:vAlign w:val="center"/>
          </w:tcPr>
          <w:p w14:paraId="2AEAB4F8">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是/否。（如填“是”，请简要说明内部工作制度的名称）</w:t>
            </w:r>
          </w:p>
        </w:tc>
        <w:tc>
          <w:tcPr>
            <w:tcW w:w="2451" w:type="dxa"/>
            <w:noWrap w:val="0"/>
            <w:tcMar>
              <w:top w:w="12" w:type="dxa"/>
              <w:left w:w="12" w:type="dxa"/>
              <w:right w:w="12" w:type="dxa"/>
            </w:tcMar>
            <w:vAlign w:val="center"/>
          </w:tcPr>
          <w:p w14:paraId="4CAD2BB1">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017E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1248" w:type="dxa"/>
            <w:vMerge w:val="continue"/>
            <w:noWrap w:val="0"/>
            <w:tcMar>
              <w:top w:w="12" w:type="dxa"/>
              <w:left w:w="12" w:type="dxa"/>
              <w:right w:w="12" w:type="dxa"/>
            </w:tcMar>
            <w:vAlign w:val="center"/>
          </w:tcPr>
          <w:p w14:paraId="5D8C1E85">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54DF383E">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1664096B">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各专门委员会是否配备专门人员或下设工作机构</w:t>
            </w:r>
          </w:p>
        </w:tc>
        <w:tc>
          <w:tcPr>
            <w:tcW w:w="4752" w:type="dxa"/>
            <w:noWrap w:val="0"/>
            <w:tcMar>
              <w:top w:w="12" w:type="dxa"/>
              <w:left w:w="12" w:type="dxa"/>
              <w:right w:w="12" w:type="dxa"/>
            </w:tcMar>
            <w:vAlign w:val="center"/>
          </w:tcPr>
          <w:p w14:paraId="6B4E0BED">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是/否。（如填“是”，请简要说明人员或工作机构的职务/名称及人数）</w:t>
            </w:r>
          </w:p>
        </w:tc>
        <w:tc>
          <w:tcPr>
            <w:tcW w:w="2451" w:type="dxa"/>
            <w:noWrap w:val="0"/>
            <w:tcMar>
              <w:top w:w="12" w:type="dxa"/>
              <w:left w:w="12" w:type="dxa"/>
              <w:right w:w="12" w:type="dxa"/>
            </w:tcMar>
            <w:vAlign w:val="center"/>
          </w:tcPr>
          <w:p w14:paraId="52FDEFF0">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72EB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jc w:val="center"/>
        </w:trPr>
        <w:tc>
          <w:tcPr>
            <w:tcW w:w="1248" w:type="dxa"/>
            <w:vMerge w:val="continue"/>
            <w:noWrap w:val="0"/>
            <w:tcMar>
              <w:top w:w="12" w:type="dxa"/>
              <w:left w:w="12" w:type="dxa"/>
              <w:right w:w="12" w:type="dxa"/>
            </w:tcMar>
            <w:vAlign w:val="center"/>
          </w:tcPr>
          <w:p w14:paraId="5FA71248">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3357413F">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69F13C54">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评价期内董事会下设专门委员会合计召开会议的次数</w:t>
            </w:r>
          </w:p>
        </w:tc>
        <w:tc>
          <w:tcPr>
            <w:tcW w:w="4752" w:type="dxa"/>
            <w:noWrap w:val="0"/>
            <w:tcMar>
              <w:top w:w="12" w:type="dxa"/>
              <w:left w:w="12" w:type="dxa"/>
              <w:right w:w="12" w:type="dxa"/>
            </w:tcMar>
            <w:vAlign w:val="center"/>
          </w:tcPr>
          <w:p w14:paraId="3DB751E4">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填写次数</w:t>
            </w:r>
          </w:p>
        </w:tc>
        <w:tc>
          <w:tcPr>
            <w:tcW w:w="2451" w:type="dxa"/>
            <w:noWrap w:val="0"/>
            <w:tcMar>
              <w:top w:w="12" w:type="dxa"/>
              <w:left w:w="12" w:type="dxa"/>
              <w:right w:w="12" w:type="dxa"/>
            </w:tcMar>
            <w:vAlign w:val="center"/>
          </w:tcPr>
          <w:p w14:paraId="1EF2FA62">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495A1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1248" w:type="dxa"/>
            <w:vMerge w:val="continue"/>
            <w:noWrap w:val="0"/>
            <w:tcMar>
              <w:top w:w="12" w:type="dxa"/>
              <w:left w:w="12" w:type="dxa"/>
              <w:right w:w="12" w:type="dxa"/>
            </w:tcMar>
            <w:vAlign w:val="center"/>
          </w:tcPr>
          <w:p w14:paraId="03CC4924">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370CDC0A">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193BF51E">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专门委员会运作中是否借助外部机构、外部专家等专业服务</w:t>
            </w:r>
          </w:p>
        </w:tc>
        <w:tc>
          <w:tcPr>
            <w:tcW w:w="4752" w:type="dxa"/>
            <w:noWrap w:val="0"/>
            <w:tcMar>
              <w:top w:w="12" w:type="dxa"/>
              <w:left w:w="12" w:type="dxa"/>
              <w:right w:w="12" w:type="dxa"/>
            </w:tcMar>
            <w:vAlign w:val="center"/>
          </w:tcPr>
          <w:p w14:paraId="1D29C522">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是/否。（如填“是”，请简要说明外部服务的内容）</w:t>
            </w:r>
          </w:p>
        </w:tc>
        <w:tc>
          <w:tcPr>
            <w:tcW w:w="2451" w:type="dxa"/>
            <w:noWrap w:val="0"/>
            <w:tcMar>
              <w:top w:w="12" w:type="dxa"/>
              <w:left w:w="12" w:type="dxa"/>
              <w:right w:w="12" w:type="dxa"/>
            </w:tcMar>
            <w:vAlign w:val="center"/>
          </w:tcPr>
          <w:p w14:paraId="2D87DC2A">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6CC8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1248" w:type="dxa"/>
            <w:vMerge w:val="continue"/>
            <w:noWrap w:val="0"/>
            <w:tcMar>
              <w:top w:w="12" w:type="dxa"/>
              <w:left w:w="12" w:type="dxa"/>
              <w:right w:w="12" w:type="dxa"/>
            </w:tcMar>
            <w:vAlign w:val="center"/>
          </w:tcPr>
          <w:p w14:paraId="44ABB3A7">
            <w:pPr>
              <w:jc w:val="center"/>
              <w:rPr>
                <w:rFonts w:hint="eastAsia" w:ascii="仿宋" w:hAnsi="仿宋" w:eastAsia="仿宋" w:cs="仿宋"/>
                <w:b/>
                <w:bCs w:val="0"/>
                <w:i w:val="0"/>
                <w:color w:val="auto"/>
                <w:sz w:val="18"/>
                <w:szCs w:val="18"/>
                <w:highlight w:val="none"/>
                <w:u w:val="none"/>
              </w:rPr>
            </w:pPr>
          </w:p>
        </w:tc>
        <w:tc>
          <w:tcPr>
            <w:tcW w:w="1527" w:type="dxa"/>
            <w:vMerge w:val="restart"/>
            <w:noWrap w:val="0"/>
            <w:tcMar>
              <w:top w:w="12" w:type="dxa"/>
              <w:left w:w="12" w:type="dxa"/>
              <w:right w:w="12" w:type="dxa"/>
            </w:tcMar>
            <w:vAlign w:val="center"/>
          </w:tcPr>
          <w:p w14:paraId="409857F4">
            <w:pPr>
              <w:keepNext w:val="0"/>
              <w:keepLines w:val="0"/>
              <w:widowControl/>
              <w:suppressLineNumbers w:val="0"/>
              <w:jc w:val="center"/>
              <w:textAlignment w:val="center"/>
              <w:rPr>
                <w:rFonts w:hint="eastAsia" w:ascii="仿宋" w:hAnsi="仿宋" w:eastAsia="仿宋" w:cs="仿宋"/>
                <w:b/>
                <w:bCs w:val="0"/>
                <w:i w:val="0"/>
                <w:color w:val="auto"/>
                <w:kern w:val="0"/>
                <w:sz w:val="18"/>
                <w:szCs w:val="18"/>
                <w:highlight w:val="none"/>
                <w:u w:val="none"/>
                <w:lang w:val="en-US" w:eastAsia="zh-CN" w:bidi="ar"/>
              </w:rPr>
            </w:pPr>
            <w:r>
              <w:rPr>
                <w:rFonts w:hint="eastAsia" w:ascii="仿宋" w:hAnsi="仿宋" w:eastAsia="仿宋" w:cs="仿宋"/>
                <w:b/>
                <w:bCs w:val="0"/>
                <w:i w:val="0"/>
                <w:color w:val="auto"/>
                <w:kern w:val="0"/>
                <w:sz w:val="18"/>
                <w:szCs w:val="18"/>
                <w:highlight w:val="none"/>
                <w:u w:val="none"/>
                <w:lang w:val="en-US" w:eastAsia="zh-CN" w:bidi="ar"/>
              </w:rPr>
              <w:t>独董专门会议情况</w:t>
            </w:r>
          </w:p>
        </w:tc>
        <w:tc>
          <w:tcPr>
            <w:tcW w:w="4355" w:type="dxa"/>
            <w:noWrap w:val="0"/>
            <w:tcMar>
              <w:top w:w="12" w:type="dxa"/>
              <w:left w:w="12" w:type="dxa"/>
              <w:right w:w="12" w:type="dxa"/>
            </w:tcMar>
            <w:vAlign w:val="center"/>
          </w:tcPr>
          <w:p w14:paraId="4E76A2EF">
            <w:pPr>
              <w:keepNext w:val="0"/>
              <w:keepLines w:val="0"/>
              <w:widowControl/>
              <w:suppressLineNumbers w:val="0"/>
              <w:jc w:val="left"/>
              <w:textAlignment w:val="center"/>
              <w:rPr>
                <w:rFonts w:hint="eastAsia" w:ascii="仿宋" w:hAnsi="仿宋" w:eastAsia="仿宋" w:cs="仿宋"/>
                <w:i w:val="0"/>
                <w:color w:val="auto"/>
                <w:kern w:val="0"/>
                <w:sz w:val="18"/>
                <w:szCs w:val="18"/>
                <w:highlight w:val="none"/>
                <w:u w:val="none"/>
                <w:lang w:val="en-US" w:eastAsia="zh-CN" w:bidi="ar"/>
              </w:rPr>
            </w:pPr>
            <w:r>
              <w:rPr>
                <w:rFonts w:hint="eastAsia" w:ascii="仿宋" w:hAnsi="仿宋" w:eastAsia="仿宋" w:cs="仿宋"/>
                <w:i w:val="0"/>
                <w:color w:val="auto"/>
                <w:kern w:val="0"/>
                <w:sz w:val="18"/>
                <w:szCs w:val="18"/>
                <w:highlight w:val="none"/>
                <w:u w:val="none"/>
                <w:lang w:val="en-US" w:eastAsia="zh-CN" w:bidi="ar"/>
              </w:rPr>
              <w:t>评价期内独董专门会议召开次数</w:t>
            </w:r>
          </w:p>
        </w:tc>
        <w:tc>
          <w:tcPr>
            <w:tcW w:w="4752" w:type="dxa"/>
            <w:noWrap w:val="0"/>
            <w:tcMar>
              <w:top w:w="12" w:type="dxa"/>
              <w:left w:w="12" w:type="dxa"/>
              <w:right w:w="12" w:type="dxa"/>
            </w:tcMar>
            <w:vAlign w:val="center"/>
          </w:tcPr>
          <w:p w14:paraId="726BEF00">
            <w:pPr>
              <w:keepNext w:val="0"/>
              <w:keepLines w:val="0"/>
              <w:widowControl/>
              <w:suppressLineNumbers w:val="0"/>
              <w:jc w:val="left"/>
              <w:textAlignment w:val="center"/>
              <w:rPr>
                <w:rFonts w:hint="eastAsia" w:ascii="仿宋" w:hAnsi="仿宋" w:eastAsia="仿宋" w:cs="仿宋"/>
                <w:i w:val="0"/>
                <w:color w:val="auto"/>
                <w:kern w:val="0"/>
                <w:sz w:val="18"/>
                <w:szCs w:val="18"/>
                <w:highlight w:val="none"/>
                <w:u w:val="none"/>
                <w:lang w:val="en-US" w:eastAsia="zh-CN" w:bidi="ar"/>
              </w:rPr>
            </w:pPr>
            <w:r>
              <w:rPr>
                <w:rFonts w:hint="eastAsia" w:ascii="仿宋" w:hAnsi="仿宋" w:eastAsia="仿宋" w:cs="仿宋"/>
                <w:i w:val="0"/>
                <w:color w:val="auto"/>
                <w:kern w:val="0"/>
                <w:sz w:val="18"/>
                <w:szCs w:val="18"/>
                <w:highlight w:val="none"/>
                <w:u w:val="none"/>
                <w:lang w:val="en-US" w:eastAsia="zh-CN" w:bidi="ar"/>
              </w:rPr>
              <w:t>填写次数</w:t>
            </w:r>
          </w:p>
        </w:tc>
        <w:tc>
          <w:tcPr>
            <w:tcW w:w="2451" w:type="dxa"/>
            <w:noWrap w:val="0"/>
            <w:tcMar>
              <w:top w:w="12" w:type="dxa"/>
              <w:left w:w="12" w:type="dxa"/>
              <w:right w:w="12" w:type="dxa"/>
            </w:tcMar>
            <w:vAlign w:val="center"/>
          </w:tcPr>
          <w:p w14:paraId="6DD92AC2">
            <w:pPr>
              <w:keepNext w:val="0"/>
              <w:keepLines w:val="0"/>
              <w:widowControl/>
              <w:suppressLineNumbers w:val="0"/>
              <w:jc w:val="center"/>
              <w:textAlignment w:val="center"/>
              <w:rPr>
                <w:rFonts w:hint="default" w:ascii="仿宋" w:hAnsi="仿宋" w:eastAsia="仿宋" w:cs="仿宋"/>
                <w:i w:val="0"/>
                <w:color w:val="auto"/>
                <w:kern w:val="0"/>
                <w:sz w:val="18"/>
                <w:szCs w:val="18"/>
                <w:highlight w:val="none"/>
                <w:u w:val="none"/>
                <w:lang w:val="en-US" w:eastAsia="zh-CN" w:bidi="ar"/>
              </w:rPr>
            </w:pPr>
          </w:p>
        </w:tc>
      </w:tr>
      <w:tr w14:paraId="08170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1248" w:type="dxa"/>
            <w:vMerge w:val="continue"/>
            <w:noWrap w:val="0"/>
            <w:tcMar>
              <w:top w:w="12" w:type="dxa"/>
              <w:left w:w="12" w:type="dxa"/>
              <w:right w:w="12" w:type="dxa"/>
            </w:tcMar>
            <w:vAlign w:val="center"/>
          </w:tcPr>
          <w:p w14:paraId="030527D0">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67522688">
            <w:pPr>
              <w:keepNext w:val="0"/>
              <w:keepLines w:val="0"/>
              <w:widowControl/>
              <w:suppressLineNumbers w:val="0"/>
              <w:jc w:val="center"/>
              <w:textAlignment w:val="center"/>
              <w:rPr>
                <w:rFonts w:hint="eastAsia" w:ascii="仿宋" w:hAnsi="仿宋" w:eastAsia="仿宋" w:cs="仿宋"/>
                <w:b/>
                <w:bCs w:val="0"/>
                <w:i w:val="0"/>
                <w:color w:val="auto"/>
                <w:kern w:val="0"/>
                <w:sz w:val="18"/>
                <w:szCs w:val="18"/>
                <w:highlight w:val="none"/>
                <w:u w:val="none"/>
                <w:lang w:val="en-US" w:eastAsia="zh-CN" w:bidi="ar"/>
              </w:rPr>
            </w:pPr>
          </w:p>
        </w:tc>
        <w:tc>
          <w:tcPr>
            <w:tcW w:w="4355" w:type="dxa"/>
            <w:noWrap w:val="0"/>
            <w:tcMar>
              <w:top w:w="12" w:type="dxa"/>
              <w:left w:w="12" w:type="dxa"/>
              <w:right w:w="12" w:type="dxa"/>
            </w:tcMar>
            <w:vAlign w:val="center"/>
          </w:tcPr>
          <w:p w14:paraId="155D4ED7">
            <w:pPr>
              <w:keepNext w:val="0"/>
              <w:keepLines w:val="0"/>
              <w:widowControl/>
              <w:suppressLineNumbers w:val="0"/>
              <w:jc w:val="left"/>
              <w:textAlignment w:val="center"/>
              <w:rPr>
                <w:rFonts w:hint="eastAsia" w:ascii="仿宋" w:hAnsi="仿宋" w:eastAsia="仿宋" w:cs="仿宋"/>
                <w:i w:val="0"/>
                <w:color w:val="auto"/>
                <w:kern w:val="0"/>
                <w:sz w:val="18"/>
                <w:szCs w:val="18"/>
                <w:highlight w:val="none"/>
                <w:u w:val="none"/>
                <w:lang w:val="en-US" w:eastAsia="zh-CN" w:bidi="ar"/>
              </w:rPr>
            </w:pPr>
            <w:r>
              <w:rPr>
                <w:rFonts w:hint="eastAsia" w:ascii="仿宋" w:hAnsi="仿宋" w:eastAsia="仿宋" w:cs="仿宋"/>
                <w:i w:val="0"/>
                <w:color w:val="auto"/>
                <w:kern w:val="0"/>
                <w:sz w:val="18"/>
                <w:szCs w:val="18"/>
                <w:highlight w:val="none"/>
                <w:u w:val="none"/>
                <w:lang w:val="en-US" w:eastAsia="zh-CN" w:bidi="ar"/>
              </w:rPr>
              <w:t>评价期内是否每次独董专门会议都有会议记录，详细记录发言要点并由参会独立董事签字确认</w:t>
            </w:r>
          </w:p>
        </w:tc>
        <w:tc>
          <w:tcPr>
            <w:tcW w:w="4752" w:type="dxa"/>
            <w:noWrap w:val="0"/>
            <w:tcMar>
              <w:top w:w="12" w:type="dxa"/>
              <w:left w:w="12" w:type="dxa"/>
              <w:right w:w="12" w:type="dxa"/>
            </w:tcMar>
            <w:vAlign w:val="center"/>
          </w:tcPr>
          <w:p w14:paraId="6641CD58">
            <w:pPr>
              <w:keepNext w:val="0"/>
              <w:keepLines w:val="0"/>
              <w:widowControl/>
              <w:suppressLineNumbers w:val="0"/>
              <w:jc w:val="left"/>
              <w:textAlignment w:val="center"/>
              <w:rPr>
                <w:rFonts w:hint="eastAsia" w:ascii="仿宋" w:hAnsi="仿宋" w:eastAsia="仿宋" w:cs="仿宋"/>
                <w:i w:val="0"/>
                <w:color w:val="auto"/>
                <w:kern w:val="0"/>
                <w:sz w:val="18"/>
                <w:szCs w:val="18"/>
                <w:highlight w:val="none"/>
                <w:u w:val="none"/>
                <w:lang w:val="en-US" w:eastAsia="zh-CN" w:bidi="ar"/>
              </w:rPr>
            </w:pPr>
            <w:r>
              <w:rPr>
                <w:rFonts w:hint="eastAsia" w:ascii="仿宋" w:hAnsi="仿宋" w:eastAsia="仿宋" w:cs="仿宋"/>
                <w:i w:val="0"/>
                <w:color w:val="auto"/>
                <w:kern w:val="0"/>
                <w:sz w:val="18"/>
                <w:szCs w:val="18"/>
                <w:highlight w:val="none"/>
                <w:u w:val="none"/>
                <w:lang w:val="en-US" w:eastAsia="zh-CN" w:bidi="ar"/>
              </w:rPr>
              <w:t>是/否。（如填“是”，请简要说明会议记录次数）</w:t>
            </w:r>
          </w:p>
        </w:tc>
        <w:tc>
          <w:tcPr>
            <w:tcW w:w="2451" w:type="dxa"/>
            <w:noWrap w:val="0"/>
            <w:tcMar>
              <w:top w:w="12" w:type="dxa"/>
              <w:left w:w="12" w:type="dxa"/>
              <w:right w:w="12" w:type="dxa"/>
            </w:tcMar>
            <w:vAlign w:val="center"/>
          </w:tcPr>
          <w:p w14:paraId="2DAF1B1E">
            <w:pPr>
              <w:keepNext w:val="0"/>
              <w:keepLines w:val="0"/>
              <w:widowControl/>
              <w:suppressLineNumbers w:val="0"/>
              <w:jc w:val="center"/>
              <w:textAlignment w:val="center"/>
              <w:rPr>
                <w:rFonts w:hint="default" w:ascii="仿宋" w:hAnsi="仿宋" w:eastAsia="仿宋" w:cs="仿宋"/>
                <w:i w:val="0"/>
                <w:color w:val="auto"/>
                <w:kern w:val="0"/>
                <w:sz w:val="18"/>
                <w:szCs w:val="18"/>
                <w:highlight w:val="none"/>
                <w:u w:val="none"/>
                <w:lang w:val="en-US" w:eastAsia="zh-CN" w:bidi="ar"/>
              </w:rPr>
            </w:pPr>
          </w:p>
        </w:tc>
      </w:tr>
      <w:tr w14:paraId="5DB66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1248" w:type="dxa"/>
            <w:vMerge w:val="continue"/>
            <w:noWrap w:val="0"/>
            <w:tcMar>
              <w:top w:w="12" w:type="dxa"/>
              <w:left w:w="12" w:type="dxa"/>
              <w:right w:w="12" w:type="dxa"/>
            </w:tcMar>
            <w:vAlign w:val="center"/>
          </w:tcPr>
          <w:p w14:paraId="66A139B0">
            <w:pPr>
              <w:jc w:val="center"/>
              <w:rPr>
                <w:rFonts w:hint="eastAsia" w:ascii="仿宋" w:hAnsi="仿宋" w:eastAsia="仿宋" w:cs="仿宋"/>
                <w:b/>
                <w:bCs w:val="0"/>
                <w:i w:val="0"/>
                <w:color w:val="auto"/>
                <w:sz w:val="18"/>
                <w:szCs w:val="18"/>
                <w:highlight w:val="none"/>
                <w:u w:val="none"/>
              </w:rPr>
            </w:pPr>
          </w:p>
        </w:tc>
        <w:tc>
          <w:tcPr>
            <w:tcW w:w="1527" w:type="dxa"/>
            <w:vMerge w:val="restart"/>
            <w:noWrap w:val="0"/>
            <w:tcMar>
              <w:top w:w="12" w:type="dxa"/>
              <w:left w:w="12" w:type="dxa"/>
              <w:right w:w="12" w:type="dxa"/>
            </w:tcMar>
            <w:vAlign w:val="center"/>
          </w:tcPr>
          <w:p w14:paraId="19C71CA2">
            <w:pPr>
              <w:keepNext w:val="0"/>
              <w:keepLines w:val="0"/>
              <w:widowControl/>
              <w:suppressLineNumbers w:val="0"/>
              <w:jc w:val="center"/>
              <w:textAlignment w:val="center"/>
              <w:rPr>
                <w:rFonts w:hint="eastAsia" w:ascii="仿宋" w:hAnsi="仿宋" w:eastAsia="仿宋" w:cs="仿宋"/>
                <w:b/>
                <w:bCs w:val="0"/>
                <w:i w:val="0"/>
                <w:color w:val="auto"/>
                <w:sz w:val="18"/>
                <w:szCs w:val="18"/>
                <w:highlight w:val="none"/>
                <w:u w:val="none"/>
              </w:rPr>
            </w:pPr>
            <w:r>
              <w:rPr>
                <w:rFonts w:hint="eastAsia" w:ascii="仿宋" w:hAnsi="仿宋" w:eastAsia="仿宋" w:cs="仿宋"/>
                <w:b/>
                <w:bCs w:val="0"/>
                <w:i w:val="0"/>
                <w:color w:val="auto"/>
                <w:kern w:val="0"/>
                <w:sz w:val="18"/>
                <w:szCs w:val="18"/>
                <w:highlight w:val="none"/>
                <w:u w:val="none"/>
                <w:lang w:val="en-US" w:eastAsia="zh-CN" w:bidi="ar"/>
              </w:rPr>
              <w:t>ESG责任履行情况</w:t>
            </w:r>
          </w:p>
        </w:tc>
        <w:tc>
          <w:tcPr>
            <w:tcW w:w="4355" w:type="dxa"/>
            <w:noWrap w:val="0"/>
            <w:tcMar>
              <w:top w:w="12" w:type="dxa"/>
              <w:left w:w="12" w:type="dxa"/>
              <w:right w:w="12" w:type="dxa"/>
            </w:tcMar>
            <w:vAlign w:val="center"/>
          </w:tcPr>
          <w:p w14:paraId="740C8A61">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是否主导制定和监督公司ESG发展战略</w:t>
            </w:r>
          </w:p>
        </w:tc>
        <w:tc>
          <w:tcPr>
            <w:tcW w:w="4752" w:type="dxa"/>
            <w:noWrap w:val="0"/>
            <w:tcMar>
              <w:top w:w="12" w:type="dxa"/>
              <w:left w:w="12" w:type="dxa"/>
              <w:right w:w="12" w:type="dxa"/>
            </w:tcMar>
            <w:vAlign w:val="center"/>
          </w:tcPr>
          <w:p w14:paraId="54D093B4">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是/否。（如填“是”，请简要说明董事会关于可持续发展战略的工作情况）</w:t>
            </w:r>
          </w:p>
        </w:tc>
        <w:tc>
          <w:tcPr>
            <w:tcW w:w="2451" w:type="dxa"/>
            <w:noWrap w:val="0"/>
            <w:tcMar>
              <w:top w:w="12" w:type="dxa"/>
              <w:left w:w="12" w:type="dxa"/>
              <w:right w:w="12" w:type="dxa"/>
            </w:tcMar>
            <w:vAlign w:val="center"/>
          </w:tcPr>
          <w:p w14:paraId="6EE830E0">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5B52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1248" w:type="dxa"/>
            <w:vMerge w:val="continue"/>
            <w:noWrap w:val="0"/>
            <w:tcMar>
              <w:top w:w="12" w:type="dxa"/>
              <w:left w:w="12" w:type="dxa"/>
              <w:right w:w="12" w:type="dxa"/>
            </w:tcMar>
            <w:vAlign w:val="center"/>
          </w:tcPr>
          <w:p w14:paraId="31D46618">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19FAFA43">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04E6B64C">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报告期内是否披露ESG/社会责任报告</w:t>
            </w:r>
          </w:p>
        </w:tc>
        <w:tc>
          <w:tcPr>
            <w:tcW w:w="4752" w:type="dxa"/>
            <w:noWrap w:val="0"/>
            <w:tcMar>
              <w:top w:w="12" w:type="dxa"/>
              <w:left w:w="12" w:type="dxa"/>
              <w:right w:w="12" w:type="dxa"/>
            </w:tcMar>
            <w:vAlign w:val="center"/>
          </w:tcPr>
          <w:p w14:paraId="4A33C644">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是/否。（如填“是”，请简要说明披露情况）</w:t>
            </w:r>
          </w:p>
        </w:tc>
        <w:tc>
          <w:tcPr>
            <w:tcW w:w="2451" w:type="dxa"/>
            <w:noWrap w:val="0"/>
            <w:tcMar>
              <w:top w:w="12" w:type="dxa"/>
              <w:left w:w="12" w:type="dxa"/>
              <w:right w:w="12" w:type="dxa"/>
            </w:tcMar>
            <w:vAlign w:val="center"/>
          </w:tcPr>
          <w:p w14:paraId="47E44C9C">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0434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1248" w:type="dxa"/>
            <w:vMerge w:val="continue"/>
            <w:noWrap w:val="0"/>
            <w:tcMar>
              <w:top w:w="12" w:type="dxa"/>
              <w:left w:w="12" w:type="dxa"/>
              <w:right w:w="12" w:type="dxa"/>
            </w:tcMar>
            <w:vAlign w:val="center"/>
          </w:tcPr>
          <w:p w14:paraId="3A0CB782">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0D8C9164">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5FA30A84">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是否成立ESG工作机构部门，并配备具有相关专业背景的工作人员</w:t>
            </w:r>
          </w:p>
        </w:tc>
        <w:tc>
          <w:tcPr>
            <w:tcW w:w="4752" w:type="dxa"/>
            <w:noWrap w:val="0"/>
            <w:tcMar>
              <w:top w:w="12" w:type="dxa"/>
              <w:left w:w="12" w:type="dxa"/>
              <w:right w:w="12" w:type="dxa"/>
            </w:tcMar>
            <w:vAlign w:val="center"/>
          </w:tcPr>
          <w:p w14:paraId="16FB0378">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是/否。（如填“是”，请简要说明工作机构的名称和人员情况）</w:t>
            </w:r>
          </w:p>
        </w:tc>
        <w:tc>
          <w:tcPr>
            <w:tcW w:w="2451" w:type="dxa"/>
            <w:noWrap w:val="0"/>
            <w:tcMar>
              <w:top w:w="12" w:type="dxa"/>
              <w:left w:w="12" w:type="dxa"/>
              <w:right w:w="12" w:type="dxa"/>
            </w:tcMar>
            <w:vAlign w:val="center"/>
          </w:tcPr>
          <w:p w14:paraId="26410313">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49A39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1248" w:type="dxa"/>
            <w:vMerge w:val="continue"/>
            <w:noWrap w:val="0"/>
            <w:tcMar>
              <w:top w:w="12" w:type="dxa"/>
              <w:left w:w="12" w:type="dxa"/>
              <w:right w:w="12" w:type="dxa"/>
            </w:tcMar>
            <w:vAlign w:val="center"/>
          </w:tcPr>
          <w:p w14:paraId="47FF13DA">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1B18F6C1">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17DA3AF3">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公司ESG相关工作获得证券监管部门或其他国家机关、全国性自律组织表彰情况</w:t>
            </w:r>
          </w:p>
        </w:tc>
        <w:tc>
          <w:tcPr>
            <w:tcW w:w="4752" w:type="dxa"/>
            <w:noWrap w:val="0"/>
            <w:tcMar>
              <w:top w:w="12" w:type="dxa"/>
              <w:left w:w="12" w:type="dxa"/>
              <w:right w:w="12" w:type="dxa"/>
            </w:tcMar>
            <w:vAlign w:val="center"/>
          </w:tcPr>
          <w:p w14:paraId="6D71B2D5">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是/否。（如填“是”，请简要说明表彰情况）</w:t>
            </w:r>
          </w:p>
        </w:tc>
        <w:tc>
          <w:tcPr>
            <w:tcW w:w="2451" w:type="dxa"/>
            <w:noWrap w:val="0"/>
            <w:tcMar>
              <w:top w:w="12" w:type="dxa"/>
              <w:left w:w="12" w:type="dxa"/>
              <w:right w:w="12" w:type="dxa"/>
            </w:tcMar>
            <w:vAlign w:val="center"/>
          </w:tcPr>
          <w:p w14:paraId="5EBCD271">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01DC7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0" w:hRule="atLeast"/>
          <w:jc w:val="center"/>
        </w:trPr>
        <w:tc>
          <w:tcPr>
            <w:tcW w:w="1248" w:type="dxa"/>
            <w:vMerge w:val="continue"/>
            <w:noWrap w:val="0"/>
            <w:tcMar>
              <w:top w:w="12" w:type="dxa"/>
              <w:left w:w="12" w:type="dxa"/>
              <w:right w:w="12" w:type="dxa"/>
            </w:tcMar>
            <w:vAlign w:val="center"/>
          </w:tcPr>
          <w:p w14:paraId="1CB7BEB7">
            <w:pPr>
              <w:jc w:val="center"/>
              <w:rPr>
                <w:rFonts w:hint="eastAsia" w:ascii="仿宋" w:hAnsi="仿宋" w:eastAsia="仿宋" w:cs="仿宋"/>
                <w:b/>
                <w:bCs w:val="0"/>
                <w:i w:val="0"/>
                <w:color w:val="auto"/>
                <w:sz w:val="18"/>
                <w:szCs w:val="18"/>
                <w:highlight w:val="none"/>
                <w:u w:val="none"/>
              </w:rPr>
            </w:pPr>
          </w:p>
        </w:tc>
        <w:tc>
          <w:tcPr>
            <w:tcW w:w="1527" w:type="dxa"/>
            <w:vMerge w:val="restart"/>
            <w:noWrap w:val="0"/>
            <w:tcMar>
              <w:top w:w="12" w:type="dxa"/>
              <w:left w:w="12" w:type="dxa"/>
              <w:right w:w="12" w:type="dxa"/>
            </w:tcMar>
            <w:vAlign w:val="center"/>
          </w:tcPr>
          <w:p w14:paraId="5261EC01">
            <w:pPr>
              <w:keepNext w:val="0"/>
              <w:keepLines w:val="0"/>
              <w:widowControl/>
              <w:suppressLineNumbers w:val="0"/>
              <w:jc w:val="center"/>
              <w:textAlignment w:val="center"/>
              <w:rPr>
                <w:rFonts w:hint="eastAsia" w:ascii="仿宋" w:hAnsi="仿宋" w:eastAsia="仿宋" w:cs="仿宋"/>
                <w:b/>
                <w:bCs w:val="0"/>
                <w:i w:val="0"/>
                <w:color w:val="auto"/>
                <w:sz w:val="18"/>
                <w:szCs w:val="18"/>
                <w:highlight w:val="none"/>
                <w:u w:val="none"/>
              </w:rPr>
            </w:pPr>
            <w:r>
              <w:rPr>
                <w:rFonts w:hint="eastAsia" w:ascii="仿宋" w:hAnsi="仿宋" w:eastAsia="仿宋" w:cs="仿宋"/>
                <w:b/>
                <w:bCs w:val="0"/>
                <w:i w:val="0"/>
                <w:color w:val="auto"/>
                <w:kern w:val="0"/>
                <w:sz w:val="18"/>
                <w:szCs w:val="18"/>
                <w:highlight w:val="none"/>
                <w:u w:val="none"/>
                <w:lang w:val="en-US" w:eastAsia="zh-CN" w:bidi="ar"/>
              </w:rPr>
              <w:t>信息披露管理情况</w:t>
            </w:r>
          </w:p>
        </w:tc>
        <w:tc>
          <w:tcPr>
            <w:tcW w:w="4355" w:type="dxa"/>
            <w:noWrap w:val="0"/>
            <w:tcMar>
              <w:top w:w="12" w:type="dxa"/>
              <w:left w:w="12" w:type="dxa"/>
              <w:right w:w="12" w:type="dxa"/>
            </w:tcMar>
            <w:vAlign w:val="center"/>
          </w:tcPr>
          <w:p w14:paraId="3FA67AB6">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最近一次交易所信息披露评级是否为A</w:t>
            </w:r>
          </w:p>
        </w:tc>
        <w:tc>
          <w:tcPr>
            <w:tcW w:w="4752" w:type="dxa"/>
            <w:noWrap w:val="0"/>
            <w:tcMar>
              <w:top w:w="12" w:type="dxa"/>
              <w:left w:w="12" w:type="dxa"/>
              <w:right w:w="12" w:type="dxa"/>
            </w:tcMar>
            <w:vAlign w:val="center"/>
          </w:tcPr>
          <w:p w14:paraId="19F852E6">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w:t>
            </w:r>
          </w:p>
        </w:tc>
        <w:tc>
          <w:tcPr>
            <w:tcW w:w="2451" w:type="dxa"/>
            <w:noWrap w:val="0"/>
            <w:tcMar>
              <w:top w:w="12" w:type="dxa"/>
              <w:left w:w="12" w:type="dxa"/>
              <w:right w:w="12" w:type="dxa"/>
            </w:tcMar>
            <w:vAlign w:val="center"/>
          </w:tcPr>
          <w:p w14:paraId="62F6984E">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05A8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1248" w:type="dxa"/>
            <w:vMerge w:val="continue"/>
            <w:noWrap w:val="0"/>
            <w:tcMar>
              <w:top w:w="12" w:type="dxa"/>
              <w:left w:w="12" w:type="dxa"/>
              <w:right w:w="12" w:type="dxa"/>
            </w:tcMar>
            <w:vAlign w:val="center"/>
          </w:tcPr>
          <w:p w14:paraId="7203F5F8">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127C3308">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70D513F2">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是否在定期报告或ESG/社会责任报告中主动披露董事会及专门委员会履职情况</w:t>
            </w:r>
          </w:p>
        </w:tc>
        <w:tc>
          <w:tcPr>
            <w:tcW w:w="4752" w:type="dxa"/>
            <w:noWrap w:val="0"/>
            <w:tcMar>
              <w:top w:w="12" w:type="dxa"/>
              <w:left w:w="12" w:type="dxa"/>
              <w:right w:w="12" w:type="dxa"/>
            </w:tcMar>
            <w:vAlign w:val="center"/>
          </w:tcPr>
          <w:p w14:paraId="30A8B42B">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是/否。（如填“是”，请简要说明披露情况）</w:t>
            </w:r>
          </w:p>
        </w:tc>
        <w:tc>
          <w:tcPr>
            <w:tcW w:w="2451" w:type="dxa"/>
            <w:noWrap w:val="0"/>
            <w:tcMar>
              <w:top w:w="12" w:type="dxa"/>
              <w:left w:w="12" w:type="dxa"/>
              <w:right w:w="12" w:type="dxa"/>
            </w:tcMar>
            <w:vAlign w:val="center"/>
          </w:tcPr>
          <w:p w14:paraId="2BA52656">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0EE0C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1248" w:type="dxa"/>
            <w:vMerge w:val="continue"/>
            <w:noWrap w:val="0"/>
            <w:tcMar>
              <w:top w:w="12" w:type="dxa"/>
              <w:left w:w="12" w:type="dxa"/>
              <w:right w:w="12" w:type="dxa"/>
            </w:tcMar>
            <w:vAlign w:val="center"/>
          </w:tcPr>
          <w:p w14:paraId="7A2E42CF">
            <w:pPr>
              <w:jc w:val="center"/>
              <w:rPr>
                <w:rFonts w:hint="eastAsia" w:ascii="仿宋" w:hAnsi="仿宋" w:eastAsia="仿宋" w:cs="仿宋"/>
                <w:b/>
                <w:bCs w:val="0"/>
                <w:i w:val="0"/>
                <w:color w:val="auto"/>
                <w:sz w:val="18"/>
                <w:szCs w:val="18"/>
                <w:highlight w:val="none"/>
                <w:u w:val="none"/>
              </w:rPr>
            </w:pPr>
          </w:p>
        </w:tc>
        <w:tc>
          <w:tcPr>
            <w:tcW w:w="1527" w:type="dxa"/>
            <w:vMerge w:val="continue"/>
            <w:noWrap w:val="0"/>
            <w:tcMar>
              <w:top w:w="12" w:type="dxa"/>
              <w:left w:w="12" w:type="dxa"/>
              <w:right w:w="12" w:type="dxa"/>
            </w:tcMar>
            <w:vAlign w:val="center"/>
          </w:tcPr>
          <w:p w14:paraId="02BE5469">
            <w:pPr>
              <w:jc w:val="cente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0B0E03B9">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评价期内召开业绩说明会或投资者说明会的次数</w:t>
            </w:r>
          </w:p>
        </w:tc>
        <w:tc>
          <w:tcPr>
            <w:tcW w:w="4752" w:type="dxa"/>
            <w:noWrap w:val="0"/>
            <w:tcMar>
              <w:top w:w="12" w:type="dxa"/>
              <w:left w:w="12" w:type="dxa"/>
              <w:right w:w="12" w:type="dxa"/>
            </w:tcMar>
            <w:vAlign w:val="center"/>
          </w:tcPr>
          <w:p w14:paraId="13EEFB24">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填写次数</w:t>
            </w:r>
          </w:p>
        </w:tc>
        <w:tc>
          <w:tcPr>
            <w:tcW w:w="2451" w:type="dxa"/>
            <w:noWrap w:val="0"/>
            <w:tcMar>
              <w:top w:w="12" w:type="dxa"/>
              <w:left w:w="12" w:type="dxa"/>
              <w:right w:w="12" w:type="dxa"/>
            </w:tcMar>
            <w:vAlign w:val="center"/>
          </w:tcPr>
          <w:p w14:paraId="123E359F">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r w14:paraId="7FAF6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0" w:hRule="atLeast"/>
          <w:jc w:val="center"/>
        </w:trPr>
        <w:tc>
          <w:tcPr>
            <w:tcW w:w="1248" w:type="dxa"/>
            <w:noWrap w:val="0"/>
            <w:tcMar>
              <w:top w:w="12" w:type="dxa"/>
              <w:left w:w="12" w:type="dxa"/>
              <w:right w:w="12" w:type="dxa"/>
            </w:tcMar>
            <w:vAlign w:val="center"/>
          </w:tcPr>
          <w:p w14:paraId="09898BE4">
            <w:pPr>
              <w:keepNext w:val="0"/>
              <w:keepLines w:val="0"/>
              <w:widowControl/>
              <w:suppressLineNumbers w:val="0"/>
              <w:jc w:val="left"/>
              <w:textAlignment w:val="center"/>
              <w:rPr>
                <w:rFonts w:hint="eastAsia" w:ascii="仿宋" w:hAnsi="仿宋" w:eastAsia="仿宋" w:cs="仿宋"/>
                <w:b/>
                <w:bCs w:val="0"/>
                <w:i w:val="0"/>
                <w:color w:val="auto"/>
                <w:sz w:val="18"/>
                <w:szCs w:val="18"/>
                <w:highlight w:val="none"/>
                <w:u w:val="none"/>
              </w:rPr>
            </w:pPr>
            <w:r>
              <w:rPr>
                <w:rFonts w:hint="eastAsia" w:ascii="仿宋" w:hAnsi="仿宋" w:eastAsia="仿宋" w:cs="仿宋"/>
                <w:b/>
                <w:bCs w:val="0"/>
                <w:i w:val="0"/>
                <w:color w:val="auto"/>
                <w:kern w:val="0"/>
                <w:sz w:val="18"/>
                <w:szCs w:val="18"/>
                <w:highlight w:val="none"/>
                <w:u w:val="none"/>
                <w:lang w:val="en-US" w:eastAsia="zh-CN" w:bidi="ar"/>
              </w:rPr>
              <w:t>董事会运作创新特色</w:t>
            </w:r>
            <w:bookmarkStart w:id="14" w:name="_GoBack"/>
            <w:bookmarkEnd w:id="14"/>
          </w:p>
        </w:tc>
        <w:tc>
          <w:tcPr>
            <w:tcW w:w="1527" w:type="dxa"/>
            <w:noWrap w:val="0"/>
            <w:tcMar>
              <w:top w:w="12" w:type="dxa"/>
              <w:left w:w="12" w:type="dxa"/>
              <w:right w:w="12" w:type="dxa"/>
            </w:tcMar>
            <w:vAlign w:val="center"/>
          </w:tcPr>
          <w:p w14:paraId="6E502717">
            <w:pPr>
              <w:rPr>
                <w:rFonts w:hint="eastAsia" w:ascii="仿宋" w:hAnsi="仿宋" w:eastAsia="仿宋" w:cs="仿宋"/>
                <w:b/>
                <w:bCs w:val="0"/>
                <w:i w:val="0"/>
                <w:color w:val="auto"/>
                <w:sz w:val="18"/>
                <w:szCs w:val="18"/>
                <w:highlight w:val="none"/>
                <w:u w:val="none"/>
              </w:rPr>
            </w:pPr>
          </w:p>
        </w:tc>
        <w:tc>
          <w:tcPr>
            <w:tcW w:w="4355" w:type="dxa"/>
            <w:noWrap w:val="0"/>
            <w:tcMar>
              <w:top w:w="12" w:type="dxa"/>
              <w:left w:w="12" w:type="dxa"/>
              <w:right w:w="12" w:type="dxa"/>
            </w:tcMar>
            <w:vAlign w:val="center"/>
          </w:tcPr>
          <w:p w14:paraId="724FEBAD">
            <w:pPr>
              <w:keepNext w:val="0"/>
              <w:keepLines w:val="0"/>
              <w:widowControl/>
              <w:suppressLineNumbers w:val="0"/>
              <w:jc w:val="left"/>
              <w:textAlignment w:val="center"/>
              <w:rPr>
                <w:rFonts w:hint="eastAsia" w:ascii="仿宋" w:hAnsi="仿宋" w:eastAsia="仿宋" w:cs="仿宋"/>
                <w:i w:val="0"/>
                <w:color w:val="auto"/>
                <w:sz w:val="18"/>
                <w:szCs w:val="18"/>
                <w:highlight w:val="none"/>
                <w:u w:val="none"/>
              </w:rPr>
            </w:pPr>
            <w:r>
              <w:rPr>
                <w:rFonts w:hint="eastAsia" w:ascii="仿宋" w:hAnsi="仿宋" w:eastAsia="仿宋" w:cs="仿宋"/>
                <w:i w:val="0"/>
                <w:color w:val="auto"/>
                <w:kern w:val="0"/>
                <w:sz w:val="18"/>
                <w:szCs w:val="18"/>
                <w:highlight w:val="none"/>
                <w:u w:val="none"/>
                <w:lang w:val="en-US" w:eastAsia="zh-CN" w:bidi="ar"/>
              </w:rPr>
              <w:t>填写董事会积极探索、创新工作方式方法的具体做法或举措等（结构：包含文章名称、主副标题等；字数：不少于3500字，空格连续不超过3个；内容：以新做法、新举措可以解决的主要问题为出发点，充分体现董事会的工作特点和推动作用，内容主要包括具体的解决方式、决策层次、时间进度安排、取得的成效、未来是否还有进一步的提升计划等方面。为保证评审公平公正，创新特色内容描述部分不得体现公司真实名称。）</w:t>
            </w:r>
          </w:p>
        </w:tc>
        <w:tc>
          <w:tcPr>
            <w:tcW w:w="4752" w:type="dxa"/>
            <w:noWrap w:val="0"/>
            <w:tcMar>
              <w:top w:w="12" w:type="dxa"/>
              <w:left w:w="12" w:type="dxa"/>
              <w:right w:w="12" w:type="dxa"/>
            </w:tcMar>
            <w:vAlign w:val="center"/>
          </w:tcPr>
          <w:p w14:paraId="000F9FE8">
            <w:pPr>
              <w:keepNext w:val="0"/>
              <w:keepLines w:val="0"/>
              <w:widowControl/>
              <w:suppressLineNumbers w:val="0"/>
              <w:jc w:val="left"/>
              <w:textAlignment w:val="center"/>
              <w:rPr>
                <w:rStyle w:val="12"/>
                <w:rFonts w:hint="eastAsia" w:ascii="仿宋" w:hAnsi="仿宋" w:eastAsia="仿宋" w:cs="仿宋"/>
                <w:color w:val="auto"/>
                <w:sz w:val="18"/>
                <w:szCs w:val="18"/>
                <w:highlight w:val="none"/>
                <w:lang w:val="en-US" w:eastAsia="zh-CN" w:bidi="ar"/>
              </w:rPr>
            </w:pPr>
            <w:r>
              <w:rPr>
                <w:rStyle w:val="12"/>
                <w:rFonts w:hint="eastAsia" w:ascii="仿宋" w:hAnsi="仿宋" w:eastAsia="仿宋" w:cs="仿宋"/>
                <w:color w:val="auto"/>
                <w:sz w:val="18"/>
                <w:szCs w:val="18"/>
                <w:highlight w:val="none"/>
                <w:lang w:val="en-US" w:eastAsia="zh-CN" w:bidi="ar"/>
              </w:rPr>
              <w:t>举例：</w:t>
            </w:r>
            <w:r>
              <w:rPr>
                <w:rStyle w:val="12"/>
                <w:rFonts w:hint="eastAsia" w:ascii="仿宋" w:hAnsi="仿宋" w:eastAsia="仿宋" w:cs="仿宋"/>
                <w:color w:val="auto"/>
                <w:sz w:val="18"/>
                <w:szCs w:val="18"/>
                <w:highlight w:val="none"/>
                <w:lang w:val="en-US" w:eastAsia="zh-CN" w:bidi="ar"/>
              </w:rPr>
              <w:br w:type="textWrapping"/>
            </w:r>
            <w:r>
              <w:rPr>
                <w:rStyle w:val="12"/>
                <w:rFonts w:hint="eastAsia" w:ascii="仿宋" w:hAnsi="仿宋" w:eastAsia="仿宋" w:cs="仿宋"/>
                <w:color w:val="auto"/>
                <w:sz w:val="18"/>
                <w:szCs w:val="18"/>
                <w:highlight w:val="none"/>
                <w:lang w:val="en-US" w:eastAsia="zh-CN" w:bidi="ar"/>
              </w:rPr>
              <w:t>1.公司如何遴选和选举董事，提升董事提名和选举流程的规范性和透明度，提名委员会在过程中怎样发挥作用</w:t>
            </w:r>
          </w:p>
          <w:p w14:paraId="784F7032">
            <w:pPr>
              <w:keepNext w:val="0"/>
              <w:keepLines w:val="0"/>
              <w:widowControl/>
              <w:suppressLineNumbers w:val="0"/>
              <w:jc w:val="left"/>
              <w:textAlignment w:val="center"/>
            </w:pPr>
            <w:r>
              <w:rPr>
                <w:rStyle w:val="12"/>
                <w:rFonts w:hint="eastAsia" w:ascii="仿宋" w:hAnsi="仿宋" w:eastAsia="仿宋" w:cs="仿宋"/>
                <w:color w:val="auto"/>
                <w:sz w:val="18"/>
                <w:szCs w:val="18"/>
                <w:highlight w:val="none"/>
                <w:lang w:val="en-US" w:eastAsia="zh-CN" w:bidi="ar"/>
              </w:rPr>
              <w:t>2.公司如何制定、审查董事、高级管理人员的薪酬决定机制、决策流程、支付与止付追索安排等薪酬政策与方案，薪酬与考核委员会在过程中怎样发挥作用</w:t>
            </w:r>
          </w:p>
          <w:p w14:paraId="236FB3AB">
            <w:pPr>
              <w:keepNext w:val="0"/>
              <w:keepLines w:val="0"/>
              <w:widowControl/>
              <w:suppressLineNumbers w:val="0"/>
              <w:jc w:val="left"/>
              <w:textAlignment w:val="center"/>
              <w:rPr>
                <w:rStyle w:val="12"/>
                <w:rFonts w:hint="default" w:ascii="仿宋" w:hAnsi="仿宋" w:eastAsia="仿宋" w:cs="仿宋"/>
                <w:color w:val="auto"/>
                <w:sz w:val="18"/>
                <w:szCs w:val="18"/>
                <w:highlight w:val="none"/>
                <w:lang w:val="en-US" w:eastAsia="zh-CN" w:bidi="ar"/>
              </w:rPr>
            </w:pPr>
            <w:r>
              <w:rPr>
                <w:rStyle w:val="12"/>
                <w:rFonts w:hint="eastAsia" w:ascii="仿宋" w:hAnsi="仿宋" w:eastAsia="仿宋" w:cs="仿宋"/>
                <w:color w:val="auto"/>
                <w:sz w:val="18"/>
                <w:szCs w:val="18"/>
                <w:highlight w:val="none"/>
                <w:lang w:eastAsia="zh-CN" w:bidi="ar"/>
              </w:rPr>
              <w:t>3</w:t>
            </w:r>
            <w:r>
              <w:rPr>
                <w:rStyle w:val="12"/>
                <w:rFonts w:hint="eastAsia" w:ascii="仿宋" w:hAnsi="仿宋" w:eastAsia="仿宋" w:cs="仿宋"/>
                <w:color w:val="auto"/>
                <w:sz w:val="18"/>
                <w:szCs w:val="18"/>
                <w:highlight w:val="none"/>
                <w:lang w:val="en-US" w:eastAsia="zh-CN" w:bidi="ar"/>
              </w:rPr>
              <w:t>.审计委员会如何在审核公司财务信息及其披露、监督及评估内外部审计工作和内部控制中发挥作用。审计委员会行使监事会职权的相关举措</w:t>
            </w:r>
          </w:p>
          <w:p w14:paraId="6C74EC1D">
            <w:pPr>
              <w:keepNext w:val="0"/>
              <w:keepLines w:val="0"/>
              <w:widowControl/>
              <w:suppressLineNumbers w:val="0"/>
              <w:jc w:val="left"/>
              <w:textAlignment w:val="center"/>
              <w:rPr>
                <w:rStyle w:val="12"/>
                <w:rFonts w:hint="default" w:ascii="仿宋" w:hAnsi="仿宋" w:eastAsia="仿宋" w:cs="仿宋"/>
                <w:color w:val="auto"/>
                <w:sz w:val="18"/>
                <w:szCs w:val="18"/>
                <w:highlight w:val="none"/>
                <w:lang w:val="en-US" w:eastAsia="zh-CN" w:bidi="ar"/>
              </w:rPr>
            </w:pPr>
            <w:r>
              <w:rPr>
                <w:rStyle w:val="12"/>
                <w:rFonts w:hint="eastAsia" w:ascii="仿宋" w:hAnsi="仿宋" w:eastAsia="仿宋" w:cs="仿宋"/>
                <w:color w:val="auto"/>
                <w:sz w:val="18"/>
                <w:szCs w:val="18"/>
                <w:highlight w:val="none"/>
                <w:lang w:val="en-US" w:eastAsia="zh-CN" w:bidi="ar"/>
              </w:rPr>
              <w:t>4.独立董事人选比例、职工董事比例</w:t>
            </w:r>
            <w:r>
              <w:rPr>
                <w:rStyle w:val="12"/>
                <w:rFonts w:hint="eastAsia" w:ascii="仿宋" w:hAnsi="仿宋" w:eastAsia="仿宋" w:cs="仿宋"/>
                <w:color w:val="auto"/>
                <w:sz w:val="18"/>
                <w:szCs w:val="18"/>
                <w:highlight w:val="none"/>
                <w:lang w:val="en-US" w:eastAsia="zh-CN" w:bidi="ar"/>
              </w:rPr>
              <w:br w:type="textWrapping"/>
            </w:r>
            <w:r>
              <w:rPr>
                <w:rStyle w:val="12"/>
                <w:rFonts w:hint="eastAsia" w:ascii="仿宋" w:hAnsi="仿宋" w:eastAsia="仿宋" w:cs="仿宋"/>
                <w:color w:val="auto"/>
                <w:sz w:val="18"/>
                <w:szCs w:val="18"/>
                <w:highlight w:val="none"/>
                <w:lang w:val="en-US" w:eastAsia="zh-CN" w:bidi="ar"/>
              </w:rPr>
              <w:t>5.董事会如何制定公司战略、</w:t>
            </w:r>
            <w:r>
              <w:rPr>
                <w:rStyle w:val="13"/>
                <w:rFonts w:hint="eastAsia" w:ascii="仿宋" w:hAnsi="仿宋" w:eastAsia="仿宋" w:cs="仿宋"/>
                <w:color w:val="auto"/>
                <w:sz w:val="18"/>
                <w:szCs w:val="18"/>
                <w:highlight w:val="none"/>
                <w:lang w:val="en-US" w:eastAsia="zh-CN" w:bidi="ar"/>
              </w:rPr>
              <w:t>是否在定期报告中详实披露年度经营计划、董事会履职情况或工作报告</w:t>
            </w:r>
            <w:r>
              <w:rPr>
                <w:rStyle w:val="12"/>
                <w:rFonts w:hint="eastAsia" w:ascii="仿宋" w:hAnsi="仿宋" w:eastAsia="仿宋" w:cs="仿宋"/>
                <w:color w:val="auto"/>
                <w:sz w:val="18"/>
                <w:szCs w:val="18"/>
                <w:highlight w:val="none"/>
                <w:lang w:val="en-US" w:eastAsia="zh-CN" w:bidi="ar"/>
              </w:rPr>
              <w:br w:type="textWrapping"/>
            </w:r>
            <w:r>
              <w:rPr>
                <w:rStyle w:val="12"/>
                <w:rFonts w:hint="eastAsia" w:ascii="仿宋" w:hAnsi="仿宋" w:eastAsia="仿宋" w:cs="仿宋"/>
                <w:color w:val="auto"/>
                <w:sz w:val="18"/>
                <w:szCs w:val="18"/>
                <w:highlight w:val="none"/>
                <w:lang w:val="en-US" w:eastAsia="zh-CN" w:bidi="ar"/>
              </w:rPr>
              <w:t>6.董事会是否制定董事会和管理层的继任者计划</w:t>
            </w:r>
            <w:r>
              <w:rPr>
                <w:rStyle w:val="12"/>
                <w:rFonts w:hint="eastAsia" w:ascii="仿宋" w:hAnsi="仿宋" w:eastAsia="仿宋" w:cs="仿宋"/>
                <w:color w:val="auto"/>
                <w:sz w:val="18"/>
                <w:szCs w:val="18"/>
                <w:highlight w:val="none"/>
                <w:lang w:val="en-US" w:eastAsia="zh-CN" w:bidi="ar"/>
              </w:rPr>
              <w:br w:type="textWrapping"/>
            </w:r>
            <w:r>
              <w:rPr>
                <w:rStyle w:val="12"/>
                <w:rFonts w:hint="eastAsia" w:ascii="仿宋" w:hAnsi="仿宋" w:eastAsia="仿宋" w:cs="仿宋"/>
                <w:color w:val="auto"/>
                <w:sz w:val="18"/>
                <w:szCs w:val="18"/>
                <w:highlight w:val="none"/>
                <w:lang w:val="en-US" w:eastAsia="zh-CN" w:bidi="ar"/>
              </w:rPr>
              <w:t>7.董事会对企业文化方面发挥的作用</w:t>
            </w:r>
            <w:r>
              <w:rPr>
                <w:rStyle w:val="12"/>
                <w:rFonts w:hint="eastAsia" w:ascii="仿宋" w:hAnsi="仿宋" w:eastAsia="仿宋" w:cs="仿宋"/>
                <w:color w:val="auto"/>
                <w:sz w:val="18"/>
                <w:szCs w:val="18"/>
                <w:highlight w:val="none"/>
                <w:lang w:val="en-US" w:eastAsia="zh-CN" w:bidi="ar"/>
              </w:rPr>
              <w:br w:type="textWrapping"/>
            </w:r>
            <w:r>
              <w:rPr>
                <w:rStyle w:val="12"/>
                <w:rFonts w:hint="eastAsia" w:ascii="仿宋" w:hAnsi="仿宋" w:eastAsia="仿宋" w:cs="仿宋"/>
                <w:color w:val="auto"/>
                <w:sz w:val="18"/>
                <w:szCs w:val="18"/>
                <w:highlight w:val="none"/>
                <w:lang w:val="en-US" w:eastAsia="zh-CN" w:bidi="ar"/>
              </w:rPr>
              <w:t>8.董事会与股东的沟通机制，推动协调各治理主体运作，加强与股东及其他利益相关者的沟通，平衡各方利益</w:t>
            </w:r>
            <w:r>
              <w:rPr>
                <w:rStyle w:val="12"/>
                <w:rFonts w:hint="eastAsia" w:ascii="仿宋" w:hAnsi="仿宋" w:eastAsia="仿宋" w:cs="仿宋"/>
                <w:color w:val="auto"/>
                <w:sz w:val="18"/>
                <w:szCs w:val="18"/>
                <w:highlight w:val="none"/>
                <w:lang w:val="en-US" w:eastAsia="zh-CN" w:bidi="ar"/>
              </w:rPr>
              <w:br w:type="textWrapping"/>
            </w:r>
            <w:r>
              <w:rPr>
                <w:rStyle w:val="12"/>
                <w:rFonts w:hint="eastAsia" w:ascii="仿宋" w:hAnsi="仿宋" w:eastAsia="仿宋" w:cs="仿宋"/>
                <w:color w:val="auto"/>
                <w:sz w:val="18"/>
                <w:szCs w:val="18"/>
                <w:highlight w:val="none"/>
                <w:lang w:val="en-US" w:eastAsia="zh-CN" w:bidi="ar"/>
              </w:rPr>
              <w:t>9.提升关联交易的合法合规性和关联交易管理的规范性的创新做法</w:t>
            </w:r>
            <w:r>
              <w:rPr>
                <w:rStyle w:val="12"/>
                <w:rFonts w:hint="eastAsia" w:ascii="仿宋" w:hAnsi="仿宋" w:eastAsia="仿宋" w:cs="仿宋"/>
                <w:color w:val="auto"/>
                <w:sz w:val="18"/>
                <w:szCs w:val="18"/>
                <w:highlight w:val="none"/>
                <w:lang w:val="en-US" w:eastAsia="zh-CN" w:bidi="ar"/>
              </w:rPr>
              <w:br w:type="textWrapping"/>
            </w:r>
            <w:r>
              <w:rPr>
                <w:rStyle w:val="12"/>
                <w:rFonts w:hint="eastAsia" w:ascii="仿宋" w:hAnsi="仿宋" w:eastAsia="仿宋" w:cs="仿宋"/>
                <w:color w:val="auto"/>
                <w:sz w:val="18"/>
                <w:szCs w:val="18"/>
                <w:highlight w:val="none"/>
                <w:lang w:val="en-US" w:eastAsia="zh-CN" w:bidi="ar"/>
              </w:rPr>
              <w:t>10.推动董事、高级管理人员薪酬与公司和股东长期利益保持一致，且符合监管要求</w:t>
            </w:r>
            <w:r>
              <w:rPr>
                <w:rStyle w:val="12"/>
                <w:rFonts w:hint="eastAsia" w:ascii="仿宋" w:hAnsi="仿宋" w:eastAsia="仿宋" w:cs="仿宋"/>
                <w:color w:val="auto"/>
                <w:sz w:val="18"/>
                <w:szCs w:val="18"/>
                <w:highlight w:val="none"/>
                <w:lang w:val="en-US" w:eastAsia="zh-CN" w:bidi="ar"/>
              </w:rPr>
              <w:br w:type="textWrapping"/>
            </w:r>
            <w:r>
              <w:rPr>
                <w:rStyle w:val="12"/>
                <w:rFonts w:hint="eastAsia" w:ascii="仿宋" w:hAnsi="仿宋" w:eastAsia="仿宋" w:cs="仿宋"/>
                <w:color w:val="auto"/>
                <w:sz w:val="18"/>
                <w:szCs w:val="18"/>
                <w:highlight w:val="none"/>
                <w:lang w:val="en-US" w:eastAsia="zh-CN" w:bidi="ar"/>
              </w:rPr>
              <w:t>11.提升内部控制、合规管理和内部审计的有效性</w:t>
            </w:r>
            <w:r>
              <w:rPr>
                <w:rStyle w:val="12"/>
                <w:rFonts w:hint="eastAsia" w:ascii="仿宋" w:hAnsi="仿宋" w:eastAsia="仿宋" w:cs="仿宋"/>
                <w:color w:val="auto"/>
                <w:sz w:val="18"/>
                <w:szCs w:val="18"/>
                <w:highlight w:val="none"/>
                <w:lang w:val="en-US" w:eastAsia="zh-CN" w:bidi="ar"/>
              </w:rPr>
              <w:br w:type="textWrapping"/>
            </w:r>
            <w:r>
              <w:rPr>
                <w:rStyle w:val="12"/>
                <w:rFonts w:hint="eastAsia" w:ascii="仿宋" w:hAnsi="仿宋" w:eastAsia="仿宋" w:cs="仿宋"/>
                <w:color w:val="auto"/>
                <w:sz w:val="18"/>
                <w:szCs w:val="18"/>
                <w:highlight w:val="none"/>
                <w:lang w:val="en-US" w:eastAsia="zh-CN" w:bidi="ar"/>
              </w:rPr>
              <w:t>12.提升财务会计信息的真实性、准确性和完整性</w:t>
            </w:r>
            <w:r>
              <w:rPr>
                <w:rStyle w:val="12"/>
                <w:rFonts w:hint="eastAsia" w:ascii="仿宋" w:hAnsi="仿宋" w:eastAsia="仿宋" w:cs="仿宋"/>
                <w:color w:val="auto"/>
                <w:sz w:val="18"/>
                <w:szCs w:val="18"/>
                <w:highlight w:val="none"/>
                <w:lang w:val="en-US" w:eastAsia="zh-CN" w:bidi="ar"/>
              </w:rPr>
              <w:br w:type="textWrapping"/>
            </w:r>
            <w:r>
              <w:rPr>
                <w:rStyle w:val="12"/>
                <w:rFonts w:hint="eastAsia" w:ascii="仿宋" w:hAnsi="仿宋" w:eastAsia="仿宋" w:cs="仿宋"/>
                <w:color w:val="auto"/>
                <w:sz w:val="18"/>
                <w:szCs w:val="18"/>
                <w:highlight w:val="none"/>
                <w:lang w:val="en-US" w:eastAsia="zh-CN" w:bidi="ar"/>
              </w:rPr>
              <w:t>13.提升信息披露的真实性、准确性、完整性、及时性和公平性</w:t>
            </w:r>
          </w:p>
          <w:p w14:paraId="14FFF9F0">
            <w:pPr>
              <w:keepNext w:val="0"/>
              <w:keepLines w:val="0"/>
              <w:widowControl/>
              <w:suppressLineNumbers w:val="0"/>
              <w:shd w:val="clear" w:color="auto" w:fill="auto"/>
              <w:jc w:val="left"/>
              <w:textAlignment w:val="center"/>
              <w:rPr>
                <w:rStyle w:val="12"/>
                <w:rFonts w:hint="default" w:ascii="仿宋" w:hAnsi="仿宋" w:eastAsia="仿宋" w:cs="仿宋"/>
                <w:color w:val="auto"/>
                <w:sz w:val="18"/>
                <w:szCs w:val="18"/>
                <w:highlight w:val="none"/>
                <w:lang w:val="en-US" w:eastAsia="zh-CN" w:bidi="ar"/>
              </w:rPr>
            </w:pPr>
            <w:r>
              <w:rPr>
                <w:rStyle w:val="12"/>
                <w:rFonts w:hint="eastAsia" w:ascii="仿宋" w:hAnsi="仿宋" w:eastAsia="仿宋" w:cs="仿宋"/>
                <w:color w:val="auto"/>
                <w:sz w:val="18"/>
                <w:szCs w:val="18"/>
                <w:highlight w:val="none"/>
                <w:lang w:val="en-US" w:eastAsia="zh-CN" w:bidi="ar"/>
              </w:rPr>
              <w:t>14.提高投资者回报水平，制定中长期分红规划及实施情况</w:t>
            </w:r>
          </w:p>
          <w:p w14:paraId="17B11F37">
            <w:r>
              <w:rPr>
                <w:rStyle w:val="12"/>
                <w:rFonts w:hint="eastAsia" w:ascii="仿宋" w:hAnsi="仿宋" w:eastAsia="仿宋" w:cs="仿宋"/>
                <w:color w:val="auto"/>
                <w:sz w:val="18"/>
                <w:szCs w:val="18"/>
                <w:highlight w:val="none"/>
                <w:lang w:val="en-US" w:eastAsia="zh-CN" w:bidi="ar"/>
              </w:rPr>
              <w:t>15.积极支持市场稳定健康发展，共建良好市场生态</w:t>
            </w:r>
          </w:p>
          <w:p w14:paraId="40028FBA">
            <w:pPr>
              <w:keepNext w:val="0"/>
              <w:keepLines w:val="0"/>
              <w:widowControl/>
              <w:suppressLineNumbers w:val="0"/>
              <w:shd w:val="clear" w:color="auto" w:fill="auto"/>
              <w:jc w:val="left"/>
              <w:textAlignment w:val="center"/>
              <w:rPr>
                <w:rStyle w:val="12"/>
                <w:rFonts w:hint="eastAsia" w:ascii="仿宋" w:hAnsi="仿宋" w:eastAsia="仿宋" w:cs="仿宋"/>
                <w:color w:val="auto"/>
                <w:sz w:val="18"/>
                <w:szCs w:val="18"/>
                <w:highlight w:val="none"/>
                <w:lang w:val="en-US" w:eastAsia="zh-CN" w:bidi="ar"/>
              </w:rPr>
            </w:pPr>
          </w:p>
          <w:p w14:paraId="35573537">
            <w:pPr>
              <w:keepNext w:val="0"/>
              <w:keepLines w:val="0"/>
              <w:widowControl/>
              <w:suppressLineNumbers w:val="0"/>
              <w:shd w:val="clear" w:color="auto" w:fill="auto"/>
              <w:jc w:val="left"/>
              <w:textAlignment w:val="center"/>
              <w:rPr>
                <w:rFonts w:hint="eastAsia" w:eastAsia="宋体"/>
                <w:lang w:eastAsia="zh-CN"/>
              </w:rPr>
            </w:pPr>
            <w:r>
              <w:rPr>
                <w:rStyle w:val="12"/>
                <w:rFonts w:hint="eastAsia" w:ascii="仿宋" w:hAnsi="仿宋" w:eastAsia="仿宋" w:cs="仿宋"/>
                <w:color w:val="auto"/>
                <w:sz w:val="18"/>
                <w:szCs w:val="18"/>
                <w:highlight w:val="none"/>
                <w:lang w:val="en-US" w:eastAsia="zh-CN" w:bidi="ar"/>
              </w:rPr>
              <w:t>16.独立董事为促进提升董事会决策水平，对上市公司经营发展提供专业、客观的建议</w:t>
            </w:r>
            <w:r>
              <w:rPr>
                <w:rFonts w:hint="eastAsia"/>
                <w:lang w:eastAsia="zh-CN"/>
              </w:rPr>
              <w:t>；</w:t>
            </w:r>
            <w:r>
              <w:rPr>
                <w:rStyle w:val="12"/>
                <w:rFonts w:hint="eastAsia" w:ascii="仿宋" w:hAnsi="仿宋" w:eastAsia="仿宋" w:cs="仿宋"/>
                <w:color w:val="auto"/>
                <w:sz w:val="18"/>
                <w:szCs w:val="18"/>
                <w:highlight w:val="none"/>
                <w:lang w:val="en-US" w:eastAsia="zh-CN" w:bidi="ar"/>
              </w:rPr>
              <w:t>财务专业独立董事在强化对上市公司财务信息质量的监督中采取的创新举措</w:t>
            </w:r>
          </w:p>
          <w:p w14:paraId="0A582596">
            <w:pPr>
              <w:keepNext w:val="0"/>
              <w:keepLines w:val="0"/>
              <w:widowControl/>
              <w:suppressLineNumbers w:val="0"/>
              <w:shd w:val="clear" w:color="auto" w:fill="auto"/>
              <w:jc w:val="left"/>
              <w:textAlignment w:val="center"/>
              <w:rPr>
                <w:rFonts w:hint="eastAsia" w:ascii="仿宋" w:hAnsi="仿宋" w:eastAsia="仿宋" w:cs="仿宋"/>
                <w:i w:val="0"/>
                <w:color w:val="auto"/>
                <w:sz w:val="18"/>
                <w:szCs w:val="18"/>
                <w:highlight w:val="none"/>
                <w:u w:val="none"/>
              </w:rPr>
            </w:pPr>
            <w:r>
              <w:rPr>
                <w:rStyle w:val="12"/>
                <w:rFonts w:hint="eastAsia" w:ascii="仿宋" w:hAnsi="仿宋" w:eastAsia="仿宋" w:cs="仿宋"/>
                <w:color w:val="auto"/>
                <w:sz w:val="18"/>
                <w:szCs w:val="18"/>
                <w:highlight w:val="none"/>
                <w:lang w:val="en-US" w:eastAsia="zh-CN" w:bidi="ar"/>
              </w:rPr>
              <w:t>17.市值管理方面，董事会重视提升上市公司质量、密切关注市场对上市公司价值的反映、提升上市公司投资价值的具体举措</w:t>
            </w:r>
            <w:r>
              <w:rPr>
                <w:rStyle w:val="12"/>
                <w:rFonts w:hint="eastAsia" w:ascii="仿宋" w:hAnsi="仿宋" w:eastAsia="仿宋" w:cs="仿宋"/>
                <w:color w:val="auto"/>
                <w:sz w:val="18"/>
                <w:szCs w:val="18"/>
                <w:highlight w:val="none"/>
                <w:lang w:val="en-US" w:eastAsia="zh-CN" w:bidi="ar"/>
              </w:rPr>
              <w:br w:type="textWrapping"/>
            </w:r>
            <w:r>
              <w:rPr>
                <w:rStyle w:val="12"/>
                <w:rFonts w:hint="eastAsia" w:ascii="仿宋" w:hAnsi="仿宋" w:eastAsia="仿宋" w:cs="仿宋"/>
                <w:color w:val="auto"/>
                <w:sz w:val="18"/>
                <w:szCs w:val="18"/>
                <w:highlight w:val="none"/>
                <w:lang w:val="en-US" w:eastAsia="zh-CN" w:bidi="ar"/>
              </w:rPr>
              <w:t>18.董事会运作的其他创新举措</w:t>
            </w:r>
          </w:p>
        </w:tc>
        <w:tc>
          <w:tcPr>
            <w:tcW w:w="2451" w:type="dxa"/>
            <w:noWrap w:val="0"/>
            <w:tcMar>
              <w:top w:w="12" w:type="dxa"/>
              <w:left w:w="12" w:type="dxa"/>
              <w:right w:w="12" w:type="dxa"/>
            </w:tcMar>
            <w:vAlign w:val="center"/>
          </w:tcPr>
          <w:p w14:paraId="05B7E16E">
            <w:pPr>
              <w:keepNext w:val="0"/>
              <w:keepLines w:val="0"/>
              <w:widowControl/>
              <w:suppressLineNumbers w:val="0"/>
              <w:jc w:val="center"/>
              <w:textAlignment w:val="center"/>
              <w:rPr>
                <w:rFonts w:hint="eastAsia" w:ascii="仿宋" w:hAnsi="仿宋" w:eastAsia="仿宋" w:cs="仿宋"/>
                <w:i w:val="0"/>
                <w:color w:val="auto"/>
                <w:sz w:val="18"/>
                <w:szCs w:val="18"/>
                <w:highlight w:val="none"/>
                <w:u w:val="none"/>
              </w:rPr>
            </w:pPr>
          </w:p>
        </w:tc>
      </w:tr>
    </w:tbl>
    <w:p w14:paraId="17B430BF"/>
    <w:p w14:paraId="6D4ACB6A">
      <w:pPr>
        <w:pStyle w:val="2"/>
      </w:pPr>
    </w:p>
    <w:sectPr>
      <w:footerReference r:id="rId5" w:type="default"/>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ongti SC">
    <w:altName w:val="宋体"/>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40F69">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F7FFB">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B83E12">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27B83E12">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- 3 -</w:t>
                    </w:r>
                    <w:r>
                      <w:rPr>
                        <w:rFonts w:hint="eastAsia" w:ascii="宋体" w:hAnsi="宋体" w:eastAsia="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FCF46">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A442DE">
                          <w:pPr>
                            <w:pStyle w:val="5"/>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3A442DE">
                    <w:pPr>
                      <w:pStyle w:val="5"/>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216836"/>
    <w:multiLevelType w:val="multilevel"/>
    <w:tmpl w:val="63216836"/>
    <w:lvl w:ilvl="0" w:tentative="0">
      <w:start w:val="1"/>
      <w:numFmt w:val="chineseCountingThousand"/>
      <w:pStyle w:val="4"/>
      <w:suff w:val="space"/>
      <w:lvlText w:val="第%1章 "/>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rPr>
        <w:rFonts w:hint="eastAsia"/>
        <w:b/>
        <w:bCs/>
        <w:i w:val="0"/>
        <w:iCs w:val="0"/>
        <w:caps w:val="0"/>
        <w:smallCaps w:val="0"/>
        <w:strike w:val="0"/>
        <w:dstrike w:val="0"/>
        <w:vanish w:val="0"/>
        <w:color w:val="000000"/>
        <w:spacing w:val="0"/>
        <w:position w:val="0"/>
        <w:u w:val="none"/>
        <w:vertAlign w:val="baseline"/>
        <w14:ligatures w14:val="none"/>
        <w14:numForm w14:val="default"/>
        <w14:numSpacing w14:val="default"/>
      </w:rPr>
    </w:lvl>
    <w:lvl w:ilvl="3" w:tentative="0">
      <w:start w:val="1"/>
      <w:numFmt w:val="decimal"/>
      <w:isLgl/>
      <w:suff w:val="space"/>
      <w:lvlText w:val="%1.%2.%3.%4"/>
      <w:lvlJc w:val="left"/>
      <w:pPr>
        <w:ind w:left="0" w:firstLine="0"/>
      </w:pPr>
      <w:rPr>
        <w:rFonts w:hint="eastAsia" w:ascii="Songti SC" w:hAnsi="Songti SC"/>
      </w:rPr>
    </w:lvl>
    <w:lvl w:ilvl="4" w:tentative="0">
      <w:start w:val="1"/>
      <w:numFmt w:val="decimal"/>
      <w:isLgl/>
      <w:suff w:val="space"/>
      <w:lvlText w:val="%1.%2.%3.%4.%5"/>
      <w:lvlJc w:val="left"/>
      <w:pPr>
        <w:ind w:left="0" w:firstLine="0"/>
      </w:pPr>
      <w:rPr>
        <w:rFonts w:hint="eastAsia" w:ascii="Songti SC" w:hAnsi="Songti SC"/>
        <w:sz w:val="24"/>
        <w:szCs w:val="24"/>
      </w:rPr>
    </w:lvl>
    <w:lvl w:ilvl="5" w:tentative="0">
      <w:start w:val="1"/>
      <w:numFmt w:val="decimal"/>
      <w:isLgl/>
      <w:suff w:val="space"/>
      <w:lvlText w:val="%1.%2.%3.%4.%5.%6"/>
      <w:lvlJc w:val="left"/>
      <w:pPr>
        <w:ind w:left="0" w:firstLine="0"/>
      </w:pPr>
      <w:rPr>
        <w:rFonts w:hint="eastAsia" w:ascii="Songti SC" w:hAnsi="Songti SC"/>
        <w:sz w:val="24"/>
        <w:szCs w:val="24"/>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D879BF"/>
    <w:rsid w:val="09D879BF"/>
    <w:rsid w:val="716D54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numPr>
        <w:ilvl w:val="0"/>
        <w:numId w:val="1"/>
      </w:numPr>
      <w:spacing w:before="0" w:after="0" w:line="408" w:lineRule="auto"/>
      <w:ind w:firstLine="0" w:firstLineChars="0"/>
      <w:outlineLvl w:val="0"/>
    </w:pPr>
    <w:rPr>
      <w:rFonts w:eastAsia="黑体" w:asciiTheme="minorAscii" w:hAnsiTheme="minorAscii"/>
      <w:b/>
      <w:bCs/>
      <w:color w:val="1A1A1A"/>
      <w:sz w:val="32"/>
      <w:szCs w:val="36"/>
    </w:rPr>
  </w:style>
  <w:style w:type="paragraph" w:styleId="3">
    <w:name w:val="heading 2"/>
    <w:basedOn w:val="1"/>
    <w:next w:val="1"/>
    <w:link w:val="11"/>
    <w:unhideWhenUsed/>
    <w:qFormat/>
    <w:uiPriority w:val="0"/>
    <w:pPr>
      <w:outlineLvl w:val="1"/>
    </w:pPr>
    <w:rPr>
      <w:rFonts w:ascii="Times New Roman" w:hAnsi="Times New Roman" w:eastAsia="仿宋" w:cs="Times New Roman"/>
      <w:b/>
      <w:kern w:val="44"/>
      <w:sz w:val="32"/>
      <w:szCs w:val="32"/>
    </w:rPr>
  </w:style>
  <w:style w:type="paragraph" w:styleId="2">
    <w:name w:val="heading 3"/>
    <w:basedOn w:val="3"/>
    <w:next w:val="1"/>
    <w:unhideWhenUsed/>
    <w:qFormat/>
    <w:uiPriority w:val="0"/>
    <w:pPr>
      <w:keepNext w:val="0"/>
      <w:keepLines w:val="0"/>
      <w:pageBreakBefore w:val="0"/>
      <w:spacing w:before="120" w:after="120"/>
      <w:jc w:val="left"/>
      <w:outlineLvl w:val="2"/>
    </w:pPr>
    <w:rPr>
      <w:color w:val="000000"/>
      <w:sz w:val="30"/>
    </w:rPr>
  </w:style>
  <w:style w:type="character" w:default="1" w:styleId="9">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10">
    <w:name w:val="No Spacing"/>
    <w:qFormat/>
    <w:uiPriority w:val="1"/>
    <w:rPr>
      <w:rFonts w:asciiTheme="minorHAnsi" w:hAnsiTheme="minorHAnsi" w:eastAsiaTheme="minorEastAsia" w:cstheme="minorBidi"/>
      <w:sz w:val="22"/>
      <w:szCs w:val="22"/>
      <w:lang w:val="en-US" w:eastAsia="zh-CN" w:bidi="ar-SA"/>
    </w:rPr>
  </w:style>
  <w:style w:type="character" w:customStyle="1" w:styleId="11">
    <w:name w:val="标题 2 Char"/>
    <w:link w:val="3"/>
    <w:qFormat/>
    <w:uiPriority w:val="0"/>
    <w:rPr>
      <w:rFonts w:ascii="Times New Roman" w:hAnsi="Times New Roman" w:eastAsia="仿宋" w:cs="Times New Roman"/>
      <w:b/>
      <w:kern w:val="44"/>
      <w:sz w:val="32"/>
      <w:szCs w:val="32"/>
    </w:rPr>
  </w:style>
  <w:style w:type="character" w:customStyle="1" w:styleId="12">
    <w:name w:val="font01"/>
    <w:basedOn w:val="9"/>
    <w:qFormat/>
    <w:uiPriority w:val="0"/>
    <w:rPr>
      <w:rFonts w:hint="eastAsia" w:ascii="宋体" w:hAnsi="宋体" w:eastAsia="宋体" w:cs="宋体"/>
      <w:color w:val="000000"/>
      <w:sz w:val="16"/>
      <w:szCs w:val="16"/>
      <w:u w:val="none"/>
    </w:rPr>
  </w:style>
  <w:style w:type="character" w:customStyle="1" w:styleId="13">
    <w:name w:val="font31"/>
    <w:basedOn w:val="9"/>
    <w:qFormat/>
    <w:uiPriority w:val="0"/>
    <w:rPr>
      <w:rFonts w:hint="eastAsia" w:ascii="宋体" w:hAnsi="宋体" w:eastAsia="宋体" w:cs="宋体"/>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181</Words>
  <Characters>224</Characters>
  <Lines>0</Lines>
  <Paragraphs>0</Paragraphs>
  <TotalTime>1</TotalTime>
  <ScaleCrop>false</ScaleCrop>
  <LinksUpToDate>false</LinksUpToDate>
  <CharactersWithSpaces>260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2025-06-30T07:36:00Z</dcterms:created>
  <dc:creator>bonjour！</dc:creator>
  <cp:lastModifiedBy>bonjour！</cp:lastModifiedBy>
  <dcterms:modified xsi:type="dcterms:W3CDTF">2025-06-30T08:32:35Z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D580D04B110C41F6B4352D0D04035847_11</vt:lpwstr>
  </property>
  <property fmtid="{D5CDD505-2E9C-101B-9397-08002B2CF9AE}" pid="4" name="KSOTemplateDocerSaveRecord">
    <vt:lpwstr>eyJoZGlkIjoiYWY4ZDk0MzllZTE4MmQzOGE4OGRiYzc4ZWQxMDE4NTkiLCJ1c2VySWQiOiIzMDI0ODI5NTgifQ==</vt:lpwstr>
  </property>
</Properties>
</file>