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2024上市公司董事会最佳实践案例</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创建活动申报信息表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为方便数据统计和内容填写，现将申报内容word版附上，供各上市公司预填写。请于2</w:t>
      </w:r>
      <w:bookmarkStart w:id="0" w:name="_GoBack"/>
      <w:bookmarkEnd w:id="0"/>
      <w:r>
        <w:rPr>
          <w:rFonts w:hint="eastAsia" w:ascii="仿宋" w:hAnsi="仿宋" w:eastAsia="仿宋" w:cs="仿宋"/>
          <w:sz w:val="32"/>
          <w:szCs w:val="32"/>
          <w:lang w:val="en-US" w:eastAsia="zh-CN"/>
        </w:rPr>
        <w:t>024年</w:t>
      </w:r>
      <w:r>
        <w:rPr>
          <w:rFonts w:hint="eastAsia" w:ascii="仿宋" w:hAnsi="仿宋" w:eastAsia="仿宋" w:cs="仿宋"/>
          <w:sz w:val="32"/>
          <w:szCs w:val="32"/>
          <w:highlight w:val="none"/>
          <w:lang w:val="en-US" w:eastAsia="zh-CN"/>
        </w:rPr>
        <w:t>8月6日</w:t>
      </w:r>
      <w:r>
        <w:rPr>
          <w:rFonts w:hint="eastAsia" w:ascii="仿宋" w:hAnsi="仿宋" w:eastAsia="仿宋" w:cs="仿宋"/>
          <w:sz w:val="32"/>
          <w:szCs w:val="32"/>
          <w:lang w:val="en-US" w:eastAsia="zh-CN"/>
        </w:rPr>
        <w:t>前登录申报网站</w:t>
      </w:r>
      <w:r>
        <w:rPr>
          <w:rFonts w:hint="eastAsia" w:ascii="仿宋" w:hAnsi="仿宋" w:eastAsia="仿宋" w:cs="仿宋"/>
          <w:sz w:val="32"/>
          <w:szCs w:val="32"/>
          <w:u w:val="single"/>
          <w:lang w:val="en-US" w:eastAsia="zh-CN"/>
        </w:rPr>
        <w:t>http://dsh.capco.org.cn:83/login</w:t>
      </w:r>
      <w:r>
        <w:rPr>
          <w:rFonts w:hint="eastAsia" w:ascii="仿宋" w:hAnsi="仿宋" w:eastAsia="仿宋" w:cs="仿宋"/>
          <w:sz w:val="32"/>
          <w:szCs w:val="32"/>
          <w:lang w:val="en-US" w:eastAsia="zh-CN"/>
        </w:rPr>
        <w:t>进行申报。感谢支持！</w:t>
      </w:r>
    </w:p>
    <w:p>
      <w:pPr>
        <w:numPr>
          <w:ilvl w:val="0"/>
          <w:numId w:val="0"/>
        </w:numPr>
        <w:bidi w:val="0"/>
        <w:ind w:leftChars="0"/>
        <w:rPr>
          <w:rFonts w:hint="default"/>
          <w:lang w:val="en-US" w:eastAsia="zh-CN"/>
        </w:rPr>
      </w:pPr>
    </w:p>
    <w:tbl>
      <w:tblPr>
        <w:tblStyle w:val="2"/>
        <w:tblW w:w="54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5"/>
        <w:gridCol w:w="955"/>
        <w:gridCol w:w="2363"/>
        <w:gridCol w:w="292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000" w:type="pct"/>
            <w:gridSpan w:val="5"/>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i w:val="0"/>
                <w:color w:val="auto"/>
                <w:kern w:val="0"/>
                <w:sz w:val="24"/>
                <w:szCs w:val="24"/>
                <w:highlight w:val="none"/>
                <w:u w:val="none"/>
                <w:lang w:val="en-US" w:eastAsia="zh-CN" w:bidi="ar"/>
              </w:rPr>
            </w:pPr>
            <w:r>
              <w:rPr>
                <w:rFonts w:hint="eastAsia" w:ascii="黑体" w:hAnsi="黑体" w:eastAsia="黑体" w:cs="黑体"/>
                <w:color w:val="auto"/>
                <w:w w:val="100"/>
                <w:sz w:val="32"/>
                <w:szCs w:val="32"/>
                <w:highlight w:val="none"/>
                <w:lang w:val="en-US" w:eastAsia="zh-CN"/>
              </w:rPr>
              <w:t>2024上市公司董事会最佳实践案例创建活动申报信息表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12" w:type="pct"/>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项目</w:t>
            </w:r>
          </w:p>
        </w:tc>
        <w:tc>
          <w:tcPr>
            <w:tcW w:w="523" w:type="pct"/>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内容</w:t>
            </w:r>
          </w:p>
        </w:tc>
        <w:tc>
          <w:tcPr>
            <w:tcW w:w="129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申报要点</w:t>
            </w:r>
          </w:p>
        </w:tc>
        <w:tc>
          <w:tcPr>
            <w:tcW w:w="1599" w:type="pct"/>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信息填报要求</w:t>
            </w:r>
          </w:p>
        </w:tc>
        <w:tc>
          <w:tcPr>
            <w:tcW w:w="1071" w:type="pct"/>
            <w:noWrap w:val="0"/>
            <w:tcMar>
              <w:top w:w="12" w:type="dxa"/>
              <w:left w:w="12" w:type="dxa"/>
              <w:right w:w="12" w:type="dxa"/>
            </w:tcMar>
            <w:vAlign w:val="center"/>
          </w:tcPr>
          <w:p>
            <w:pPr>
              <w:keepNext w:val="0"/>
              <w:keepLines w:val="0"/>
              <w:widowControl/>
              <w:suppressLineNumbers w:val="0"/>
              <w:jc w:val="center"/>
              <w:textAlignment w:val="center"/>
              <w:rPr>
                <w:rFonts w:hint="default" w:ascii="黑体" w:hAnsi="黑体" w:eastAsia="黑体" w:cs="黑体"/>
                <w:b w:val="0"/>
                <w:bCs/>
                <w:i w:val="0"/>
                <w:color w:val="auto"/>
                <w:kern w:val="0"/>
                <w:sz w:val="24"/>
                <w:szCs w:val="24"/>
                <w:highlight w:val="none"/>
                <w:u w:val="none"/>
                <w:lang w:val="en-US" w:eastAsia="zh-CN" w:bidi="ar"/>
              </w:rPr>
            </w:pPr>
            <w:r>
              <w:rPr>
                <w:rFonts w:hint="eastAsia" w:ascii="黑体" w:hAnsi="黑体" w:eastAsia="黑体" w:cs="黑体"/>
                <w:b w:val="0"/>
                <w:bCs/>
                <w:i w:val="0"/>
                <w:color w:val="auto"/>
                <w:kern w:val="0"/>
                <w:sz w:val="24"/>
                <w:szCs w:val="24"/>
                <w:highlight w:val="none"/>
                <w:u w:val="none"/>
                <w:lang w:val="en-US" w:eastAsia="zh-CN" w:bidi="ar"/>
              </w:rPr>
              <w:t>公司申报内容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公司基本</w:t>
            </w:r>
          </w:p>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情况</w:t>
            </w: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公司基本</w:t>
            </w:r>
          </w:p>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情况</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公司名称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填写公司全称，并用括号注明证券简称。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股票代码</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填写公司股票代码，股票代码前无需添加交易所英文简称。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企业性质</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填写国有企业、民营企业、混合所有制企业等。</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所属行业</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填写公司所属行业，参照证监会《上市公司行业分类指引》。</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2023年营业收入规模（填写区间值）</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1、50亿以下；2、50亿-100亿；3、100亿-300亿；4、300亿以上</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2023年总资产规模（填写区间值）</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1、50亿以下；2、50亿-100亿；3、100亿-300亿；4、300亿以上</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联系人基本</w:t>
            </w:r>
          </w:p>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情况</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第一联系人</w:t>
            </w:r>
          </w:p>
        </w:tc>
        <w:tc>
          <w:tcPr>
            <w:tcW w:w="1599" w:type="pct"/>
            <w:vMerge w:val="restar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请填写评选第一和第二联系人，包括姓名、电话、邮寄地址和邮箱，以便后续评选联系。</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电话</w:t>
            </w:r>
          </w:p>
        </w:tc>
        <w:tc>
          <w:tcPr>
            <w:tcW w:w="1599" w:type="pct"/>
            <w:vMerge w:val="continue"/>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c>
          <w:tcPr>
            <w:tcW w:w="1071" w:type="pct"/>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邮寄地址</w:t>
            </w:r>
          </w:p>
        </w:tc>
        <w:tc>
          <w:tcPr>
            <w:tcW w:w="1599" w:type="pct"/>
            <w:vMerge w:val="continue"/>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c>
          <w:tcPr>
            <w:tcW w:w="1071" w:type="pct"/>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电子邮箱</w:t>
            </w:r>
          </w:p>
        </w:tc>
        <w:tc>
          <w:tcPr>
            <w:tcW w:w="1599" w:type="pct"/>
            <w:vMerge w:val="continue"/>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c>
          <w:tcPr>
            <w:tcW w:w="1071" w:type="pct"/>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第二联系人</w:t>
            </w:r>
          </w:p>
        </w:tc>
        <w:tc>
          <w:tcPr>
            <w:tcW w:w="1599" w:type="pct"/>
            <w:vMerge w:val="continue"/>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c>
          <w:tcPr>
            <w:tcW w:w="1071" w:type="pct"/>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电话</w:t>
            </w:r>
          </w:p>
        </w:tc>
        <w:tc>
          <w:tcPr>
            <w:tcW w:w="1599" w:type="pct"/>
            <w:vMerge w:val="continue"/>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c>
          <w:tcPr>
            <w:tcW w:w="1071" w:type="pct"/>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邮寄地址</w:t>
            </w:r>
          </w:p>
        </w:tc>
        <w:tc>
          <w:tcPr>
            <w:tcW w:w="1599" w:type="pct"/>
            <w:vMerge w:val="continue"/>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c>
          <w:tcPr>
            <w:tcW w:w="1071" w:type="pct"/>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电子邮箱</w:t>
            </w:r>
          </w:p>
        </w:tc>
        <w:tc>
          <w:tcPr>
            <w:tcW w:w="1599" w:type="pct"/>
            <w:vMerge w:val="continue"/>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c>
          <w:tcPr>
            <w:tcW w:w="1071" w:type="pct"/>
            <w:noWrap w:val="0"/>
            <w:tcMar>
              <w:top w:w="12" w:type="dxa"/>
              <w:left w:w="12" w:type="dxa"/>
              <w:right w:w="12" w:type="dxa"/>
            </w:tcMar>
            <w:vAlign w:val="center"/>
          </w:tcPr>
          <w:p>
            <w:pPr>
              <w:jc w:val="left"/>
              <w:rPr>
                <w:rFonts w:hint="eastAsia" w:ascii="仿宋" w:hAnsi="仿宋" w:eastAsia="仿宋" w:cs="仿宋"/>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512"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董事会基本情况</w:t>
            </w: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董事会构成情况</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评价期末董事会人数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填写评价期末的董事会人数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评价期内是否存在董事会人数与章程规定人数不一致的情形，且时限超过2个月以上</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独立董事占董事会人数的比例</w:t>
            </w:r>
          </w:p>
        </w:tc>
        <w:tc>
          <w:tcPr>
            <w:tcW w:w="1599"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请列明具体的计算公式，结果以百分数表示，四舍五入且不保留小数点；不符合填写规则的，此项不得分）</w:t>
            </w:r>
          </w:p>
        </w:tc>
        <w:tc>
          <w:tcPr>
            <w:tcW w:w="10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兼任高管及由职工代表担任的董事占董事会人数的比例</w:t>
            </w:r>
          </w:p>
        </w:tc>
        <w:tc>
          <w:tcPr>
            <w:tcW w:w="1599" w:type="pct"/>
            <w:vMerge w:val="continue"/>
            <w:noWrap w:val="0"/>
            <w:tcMar>
              <w:top w:w="12" w:type="dxa"/>
              <w:left w:w="12" w:type="dxa"/>
              <w:right w:w="12" w:type="dxa"/>
            </w:tcMar>
            <w:vAlign w:val="center"/>
          </w:tcPr>
          <w:p>
            <w:pPr>
              <w:jc w:val="center"/>
              <w:rPr>
                <w:rFonts w:hint="eastAsia" w:ascii="仿宋" w:hAnsi="仿宋" w:eastAsia="仿宋" w:cs="仿宋"/>
                <w:i w:val="0"/>
                <w:color w:val="auto"/>
                <w:sz w:val="18"/>
                <w:szCs w:val="18"/>
                <w:highlight w:val="none"/>
                <w:u w:val="none"/>
              </w:rPr>
            </w:pPr>
          </w:p>
        </w:tc>
        <w:tc>
          <w:tcPr>
            <w:tcW w:w="1071" w:type="pct"/>
            <w:noWrap w:val="0"/>
            <w:tcMar>
              <w:top w:w="12" w:type="dxa"/>
              <w:left w:w="12" w:type="dxa"/>
              <w:right w:w="12" w:type="dxa"/>
            </w:tcMar>
            <w:vAlign w:val="center"/>
          </w:tcPr>
          <w:p>
            <w:pPr>
              <w:jc w:val="center"/>
              <w:rPr>
                <w:rFonts w:hint="eastAsia" w:ascii="仿宋" w:hAnsi="仿宋" w:eastAsia="仿宋" w:cs="仿宋"/>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任期超过10年的非独立董事占非独立董事人数的比例</w:t>
            </w:r>
          </w:p>
        </w:tc>
        <w:tc>
          <w:tcPr>
            <w:tcW w:w="1599" w:type="pct"/>
            <w:vMerge w:val="continue"/>
            <w:noWrap w:val="0"/>
            <w:tcMar>
              <w:top w:w="12" w:type="dxa"/>
              <w:left w:w="12" w:type="dxa"/>
              <w:right w:w="12" w:type="dxa"/>
            </w:tcMar>
            <w:vAlign w:val="center"/>
          </w:tcPr>
          <w:p>
            <w:pPr>
              <w:jc w:val="center"/>
              <w:rPr>
                <w:rFonts w:hint="eastAsia" w:ascii="仿宋" w:hAnsi="仿宋" w:eastAsia="仿宋" w:cs="仿宋"/>
                <w:i w:val="0"/>
                <w:color w:val="auto"/>
                <w:sz w:val="18"/>
                <w:szCs w:val="18"/>
                <w:highlight w:val="none"/>
                <w:u w:val="none"/>
              </w:rPr>
            </w:pPr>
          </w:p>
        </w:tc>
        <w:tc>
          <w:tcPr>
            <w:tcW w:w="1071" w:type="pct"/>
            <w:noWrap w:val="0"/>
            <w:tcMar>
              <w:top w:w="12" w:type="dxa"/>
              <w:left w:w="12" w:type="dxa"/>
              <w:right w:w="12" w:type="dxa"/>
            </w:tcMar>
            <w:vAlign w:val="center"/>
          </w:tcPr>
          <w:p>
            <w:pPr>
              <w:jc w:val="center"/>
              <w:rPr>
                <w:rFonts w:hint="eastAsia" w:ascii="仿宋" w:hAnsi="仿宋" w:eastAsia="仿宋" w:cs="仿宋"/>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是否包含女性董事</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是/否。（如填“是”，请简要说明女性董事姓名和任职情况）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董事长与总经理是否由同一人担任</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是/否。（如填“是”，请简要说明董事长与总经理任职情况）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是否存在中小股东提名董事的机制</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是/否。（如填“是”，请简要说明提名机制）</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评价期内是否存在董事会任期届满超过两个月仍未及时换届的情况</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是/否。（如填“是”，请简要说明最近一次换届情况）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公司章程中是否对累积投票制的适用有明确规定</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公司章程中是否对独立董事差额选举有相应规定</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是/否（如填“是”，请简要说明规定内容）</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董事履职</w:t>
            </w:r>
          </w:p>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能力</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董事成员中是否包含具备其他上市公司履职经验的董事</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是/否。（如填“是”，请简要说明此类董事的姓名和背景）</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董事成员中是否包含具备国际化经验的董事</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是/否。（如填“是”，请简要说明此类董事的姓名和背景）</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董事成员中是否包含具备法律/合规经验的董事</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是/否。（如填“是”，请简要说明此类董事的姓名和背景）</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董事成员中是否包含具备投资专业技能的董事</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是/否。（如填“是”，请简要说明此类董事的姓名和背景）</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董事成员中是否包含具备财务、会计或风险管理经验的董事</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是/否。（如填“是”，请简要说明此类董事的姓名和背景）</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公司或董事获得证券监管机构或其他国家机关、全国性自律组织表彰情况</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是/否。（如填“是”，请简要说明表彰情况）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董事履职</w:t>
            </w:r>
          </w:p>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保障</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除董事会议事规则外，是否制订了其他董事履职内部制度</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是/否。（如填“是”，请简要说明制度名称和内容）</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公司是否为董事购买董事履职责任险</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是/否。（如填“是”，请简要说明责任险购买情况）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公司是否定期或不定期为董事开展培训</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是/否。（如填“是”，请简要说明评价期内培训情况）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设置专门工作机构，并配备专职工作人员的情况</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是/否。（如填“是”，请简要说明工作机构名称和职责）</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是否建立董事履职的评价体系</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是/否。（如填“是”，请简要说明评价体系及执行情况）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是否建立针对董事的薪酬激励机制</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是/否。（如填“是”，请简要说明董事薪酬的激励机制）</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512"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董事会运作情况</w:t>
            </w: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独立董事</w:t>
            </w:r>
          </w:p>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履职情况</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独立董事成员中是否包含具备公司所处行业专业知识的独立董事</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是/否。（如填“是”，请简要说明此类董事的姓名和专业背景）</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独立董事评价期内平均现场工作天数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填写现场工作天数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除按规定出席股东大会、董事会及其专门委员会、独立董事专门会议外，独立董事是否采用了其他方式履行职责</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是/否。（如填“是”，请简要说明具体方式及次数）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独立董事是否制作工作记录，详细记录履行职责的情况</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是/否。（如填“是”，请简要说明记录日期及对应内容）</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独立董事平均兼任其他上市公司独立董事的数量</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填写数量</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独立董事平均年度津贴</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填写津贴金额（万元）</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评价期内是否存在独立董事连续任职超过6年的情况</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是/否。（如填“是”，请填写现任独立董事连续任职期限情况）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董事会会议情况</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评价期内董事会召开次数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评价期内董事缺席董事会的人次</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填写人次数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评价期内无法形成董事会决议的次数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评价期内存在反对、弃权议案的董事会次数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评价期内是否存在2名以上独立董事认为资料不完整或者论证不充分并提出联名书面延期请求</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评价期内涉及公司董事会决议被申请撤销或者宣告无效的诉讼次数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评价期内是否存在董事会的召集、召开违反相关规定或决策程序的</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评价期内是否每次董事会都有会议记录，详细记录发言要点并由参会董事签字确认</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是/否。（如填“是”，请简要说明会议记录次数）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专门委员会履职情况</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是否设立了审计委员会</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是/否。（如填“是”，请简要说明审计委员会的设立情况）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是否设立了薪酬、提名、战略委员会</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是/否。（如填“是”，请简要说明专门委员会的设立情况）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除以上四个外，是否设立了其他专门委员会</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是/否。（如填“是”，请简要说明其他专门委员会名称及职能）</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各专门委员会是否制定了相应的内部工作制度</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是/否。（如填“是”，请简要说明内部工作制度的名称）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各专门委员会是否配备专门人员或下设工作机构</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是/否。（如填“是”，请简要说明人员或工作机构的职务/名称及人数）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评价期内董事会下设专门委员会合计召开会议的次数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专门委员会运作中是否借助外部机构、外部专家等专业服务</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是/否。（如填“是”，请简要说明外部服务的内容）</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独董专门</w:t>
            </w:r>
          </w:p>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会议情况</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评价期内独董专门会议召开次数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填写次数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评价期内是否每次独董专门会议都有会议记录，详细记录发言要点并由参会独立董事签字确认</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是/否。（如填“是”，请简要说明会议记录次数）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ESG责任</w:t>
            </w:r>
          </w:p>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履行情况</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是否主导制定和监督公司ESG发展战略</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是/否。（如填“是”，请简要说明董事会关于可持续发展战略的工作情况）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报告期内是否披露ESG/社会责任报告</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是/否。（如填“是”，请简要说明披露情况）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是否成立ESG工作机构部门，并配备具有相关专业背景的工作人员</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是/否。（如填“是”，请简要说明工作机构的名称和人员情况）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公司ESG相关工作获得证券监管部门或其他国家机关、全国性自律组织表彰情况</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是/否。（如填“是”，请简要说明表彰情况）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val="0"/>
                <w:i w:val="0"/>
                <w:color w:val="auto"/>
                <w:kern w:val="0"/>
                <w:sz w:val="18"/>
                <w:szCs w:val="18"/>
                <w:highlight w:val="none"/>
                <w:u w:val="none"/>
                <w:lang w:val="en-US" w:eastAsia="zh-CN" w:bidi="ar"/>
              </w:rPr>
            </w:pPr>
            <w:r>
              <w:rPr>
                <w:rFonts w:hint="eastAsia" w:ascii="仿宋" w:hAnsi="仿宋" w:eastAsia="仿宋" w:cs="仿宋"/>
                <w:b/>
                <w:bCs w:val="0"/>
                <w:i w:val="0"/>
                <w:color w:val="auto"/>
                <w:kern w:val="0"/>
                <w:sz w:val="18"/>
                <w:szCs w:val="18"/>
                <w:highlight w:val="none"/>
                <w:u w:val="none"/>
                <w:lang w:val="en-US" w:eastAsia="zh-CN" w:bidi="ar"/>
              </w:rPr>
              <w:t>信息披露</w:t>
            </w:r>
          </w:p>
          <w:p>
            <w:pPr>
              <w:keepNext w:val="0"/>
              <w:keepLines w:val="0"/>
              <w:widowControl/>
              <w:suppressLineNumbers w:val="0"/>
              <w:jc w:val="center"/>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管理情况</w:t>
            </w: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最近一次交易所信息披露评级是否为A</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是否在定期报告或ESG/社会责任报告中主动披露董事会及专门委员会履职情况</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是/否。（如填“是”，请简要说明披露情况）</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12"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523" w:type="pct"/>
            <w:vMerge w:val="continue"/>
            <w:noWrap w:val="0"/>
            <w:tcMar>
              <w:top w:w="12" w:type="dxa"/>
              <w:left w:w="12" w:type="dxa"/>
              <w:right w:w="12" w:type="dxa"/>
            </w:tcMar>
            <w:vAlign w:val="center"/>
          </w:tcPr>
          <w:p>
            <w:pPr>
              <w:jc w:val="cente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评价期内召开业绩说明会或投资者说明会的次数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填写次数</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0" w:hRule="atLeast"/>
          <w:jc w:val="center"/>
        </w:trPr>
        <w:tc>
          <w:tcPr>
            <w:tcW w:w="512"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bCs w:val="0"/>
                <w:i w:val="0"/>
                <w:color w:val="auto"/>
                <w:sz w:val="18"/>
                <w:szCs w:val="18"/>
                <w:highlight w:val="none"/>
                <w:u w:val="none"/>
              </w:rPr>
            </w:pPr>
            <w:r>
              <w:rPr>
                <w:rFonts w:hint="eastAsia" w:ascii="仿宋" w:hAnsi="仿宋" w:eastAsia="仿宋" w:cs="仿宋"/>
                <w:b/>
                <w:bCs w:val="0"/>
                <w:i w:val="0"/>
                <w:color w:val="auto"/>
                <w:kern w:val="0"/>
                <w:sz w:val="18"/>
                <w:szCs w:val="18"/>
                <w:highlight w:val="none"/>
                <w:u w:val="none"/>
                <w:lang w:val="en-US" w:eastAsia="zh-CN" w:bidi="ar"/>
              </w:rPr>
              <w:t>董事会运作创新特色</w:t>
            </w:r>
          </w:p>
        </w:tc>
        <w:tc>
          <w:tcPr>
            <w:tcW w:w="523" w:type="pct"/>
            <w:noWrap w:val="0"/>
            <w:tcMar>
              <w:top w:w="12" w:type="dxa"/>
              <w:left w:w="12" w:type="dxa"/>
              <w:right w:w="12" w:type="dxa"/>
            </w:tcMar>
            <w:vAlign w:val="center"/>
          </w:tcPr>
          <w:p>
            <w:pPr>
              <w:rPr>
                <w:rFonts w:hint="eastAsia" w:ascii="仿宋" w:hAnsi="仿宋" w:eastAsia="仿宋" w:cs="仿宋"/>
                <w:b/>
                <w:bCs w:val="0"/>
                <w:i w:val="0"/>
                <w:color w:val="auto"/>
                <w:sz w:val="18"/>
                <w:szCs w:val="18"/>
                <w:highlight w:val="none"/>
                <w:u w:val="none"/>
              </w:rPr>
            </w:pPr>
          </w:p>
        </w:tc>
        <w:tc>
          <w:tcPr>
            <w:tcW w:w="1294" w:type="pct"/>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填写董事会积极探索、创新工作方式方法的具体做法或举措等（字数：不少于3500字，空格连续不超过3个，内容：以新做法、新举措可以解决的主要问题为出发点，充分体现董事会的工作特点和推动作用，内容主要包括具体的解决方式、决策层次、时间进度安排、取得的成效、未来是否还有进一步的提升计划等方面。为保证评审公平公正，创新特色内容描述部分不得体现公司真实名称。）</w:t>
            </w:r>
          </w:p>
        </w:tc>
        <w:tc>
          <w:tcPr>
            <w:tcW w:w="1599" w:type="pct"/>
            <w:noWrap w:val="0"/>
            <w:tcMar>
              <w:top w:w="12" w:type="dxa"/>
              <w:left w:w="12" w:type="dxa"/>
              <w:right w:w="12" w:type="dxa"/>
            </w:tcMar>
            <w:vAlign w:val="center"/>
          </w:tcPr>
          <w:p>
            <w:pPr>
              <w:keepNext w:val="0"/>
              <w:keepLines w:val="0"/>
              <w:widowControl/>
              <w:suppressLineNumbers w:val="0"/>
              <w:jc w:val="left"/>
              <w:textAlignment w:val="center"/>
              <w:rPr>
                <w:rStyle w:val="5"/>
                <w:rFonts w:hint="eastAsia" w:ascii="仿宋" w:hAnsi="仿宋" w:eastAsia="仿宋" w:cs="仿宋"/>
                <w:color w:val="auto"/>
                <w:sz w:val="18"/>
                <w:szCs w:val="18"/>
                <w:highlight w:val="none"/>
                <w:lang w:val="en-US" w:eastAsia="zh-CN" w:bidi="ar"/>
              </w:rPr>
            </w:pPr>
            <w:r>
              <w:rPr>
                <w:rStyle w:val="5"/>
                <w:rFonts w:hint="eastAsia" w:ascii="仿宋" w:hAnsi="仿宋" w:eastAsia="仿宋" w:cs="仿宋"/>
                <w:color w:val="auto"/>
                <w:sz w:val="18"/>
                <w:szCs w:val="18"/>
                <w:highlight w:val="none"/>
                <w:lang w:val="en-US" w:eastAsia="zh-CN" w:bidi="ar"/>
              </w:rPr>
              <w:t>举例：</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1、公司如何遴选和选举董事，提升董事提名和选举流程的规范性和透明度，提名委员会在过程中怎样发挥作用                                          2、独立董事人选比例、职工董事比例</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3、董事会如何制定公司战略、</w:t>
            </w:r>
            <w:r>
              <w:rPr>
                <w:rStyle w:val="6"/>
                <w:rFonts w:hint="eastAsia" w:ascii="仿宋" w:hAnsi="仿宋" w:eastAsia="仿宋" w:cs="仿宋"/>
                <w:color w:val="auto"/>
                <w:sz w:val="18"/>
                <w:szCs w:val="18"/>
                <w:highlight w:val="none"/>
                <w:lang w:val="en-US" w:eastAsia="zh-CN" w:bidi="ar"/>
              </w:rPr>
              <w:t>是否在定期报告中详实披露年度经营计划、董事会履职情况或工作报告</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4、董事会是否制定董事会和管理层的继任者计划</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5、董事会对企业文化方面发挥的作用</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6、董事会与股东的沟通机制，推动协调各治理主体运作，加强与股东及其他利益相关者的沟通，平衡各方利益</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7、提升关联交易的合法合规性和关联交易管理的规范性的创新做法</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8、推动董事、高级管理人员薪酬与公司和股东长期利益保持一致，且符合监管要求</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9、提升内部控制、合规管理和内部审计的有效性</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10、提升财务会计信息的真实性、准确性和完整性</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11、提升信息披露的真实性、准确性、完整性和及时性</w:t>
            </w:r>
          </w:p>
          <w:p>
            <w:pPr>
              <w:keepNext w:val="0"/>
              <w:keepLines w:val="0"/>
              <w:widowControl/>
              <w:suppressLineNumbers w:val="0"/>
              <w:jc w:val="left"/>
              <w:textAlignment w:val="center"/>
              <w:rPr>
                <w:rStyle w:val="5"/>
                <w:rFonts w:hint="eastAsia" w:ascii="仿宋" w:hAnsi="仿宋" w:eastAsia="仿宋" w:cs="仿宋"/>
                <w:color w:val="auto"/>
                <w:sz w:val="18"/>
                <w:szCs w:val="18"/>
                <w:highlight w:val="none"/>
                <w:lang w:val="en-US" w:eastAsia="zh-CN" w:bidi="ar"/>
              </w:rPr>
            </w:pPr>
            <w:r>
              <w:rPr>
                <w:rStyle w:val="5"/>
                <w:rFonts w:hint="eastAsia" w:ascii="仿宋" w:hAnsi="仿宋" w:eastAsia="仿宋" w:cs="仿宋"/>
                <w:color w:val="auto"/>
                <w:sz w:val="18"/>
                <w:szCs w:val="18"/>
                <w:highlight w:val="none"/>
                <w:lang w:val="en-US" w:eastAsia="zh-CN" w:bidi="ar"/>
              </w:rPr>
              <w:t>12、提高投资者回报水平</w:t>
            </w:r>
          </w:p>
          <w:p>
            <w:pPr>
              <w:keepNext w:val="0"/>
              <w:keepLines w:val="0"/>
              <w:widowControl/>
              <w:suppressLineNumbers w:val="0"/>
              <w:jc w:val="left"/>
              <w:textAlignment w:val="center"/>
              <w:rPr>
                <w:rStyle w:val="5"/>
                <w:rFonts w:hint="eastAsia" w:ascii="仿宋" w:hAnsi="仿宋" w:eastAsia="仿宋" w:cs="仿宋"/>
                <w:color w:val="auto"/>
                <w:sz w:val="18"/>
                <w:szCs w:val="18"/>
                <w:highlight w:val="none"/>
                <w:lang w:val="en-US" w:eastAsia="zh-CN" w:bidi="ar"/>
              </w:rPr>
            </w:pPr>
            <w:r>
              <w:rPr>
                <w:rStyle w:val="5"/>
                <w:rFonts w:hint="eastAsia" w:ascii="仿宋" w:hAnsi="仿宋" w:eastAsia="仿宋" w:cs="仿宋"/>
                <w:color w:val="auto"/>
                <w:sz w:val="18"/>
                <w:szCs w:val="18"/>
                <w:highlight w:val="none"/>
                <w:lang w:val="en-US" w:eastAsia="zh-CN" w:bidi="ar"/>
              </w:rPr>
              <w:t>13、积极支持市场稳定健康发展，共建良好市场生态</w:t>
            </w:r>
          </w:p>
          <w:p>
            <w:pPr>
              <w:keepNext w:val="0"/>
              <w:keepLines w:val="0"/>
              <w:widowControl/>
              <w:suppressLineNumbers w:val="0"/>
              <w:jc w:val="left"/>
              <w:textAlignment w:val="center"/>
              <w:rPr>
                <w:rFonts w:hint="eastAsia" w:ascii="仿宋" w:hAnsi="仿宋" w:eastAsia="仿宋" w:cs="仿宋"/>
                <w:i w:val="0"/>
                <w:color w:val="auto"/>
                <w:sz w:val="18"/>
                <w:szCs w:val="18"/>
                <w:highlight w:val="none"/>
                <w:u w:val="none"/>
              </w:rPr>
            </w:pPr>
            <w:r>
              <w:rPr>
                <w:rStyle w:val="5"/>
                <w:rFonts w:hint="eastAsia" w:ascii="仿宋" w:hAnsi="仿宋" w:eastAsia="仿宋" w:cs="仿宋"/>
                <w:color w:val="auto"/>
                <w:sz w:val="18"/>
                <w:szCs w:val="18"/>
                <w:highlight w:val="none"/>
                <w:lang w:val="en-US" w:eastAsia="zh-CN" w:bidi="ar"/>
              </w:rPr>
              <w:t>14、财务专业独立董事在强化对上市公司财务信息质量的监督中采取的创新举措</w:t>
            </w:r>
            <w:r>
              <w:rPr>
                <w:rStyle w:val="5"/>
                <w:rFonts w:hint="eastAsia" w:ascii="仿宋" w:hAnsi="仿宋" w:eastAsia="仿宋" w:cs="仿宋"/>
                <w:color w:val="auto"/>
                <w:sz w:val="18"/>
                <w:szCs w:val="18"/>
                <w:highlight w:val="none"/>
                <w:lang w:val="en-US" w:eastAsia="zh-CN" w:bidi="ar"/>
              </w:rPr>
              <w:br w:type="textWrapping"/>
            </w:r>
            <w:r>
              <w:rPr>
                <w:rStyle w:val="5"/>
                <w:rFonts w:hint="eastAsia" w:ascii="仿宋" w:hAnsi="仿宋" w:eastAsia="仿宋" w:cs="仿宋"/>
                <w:color w:val="auto"/>
                <w:sz w:val="18"/>
                <w:szCs w:val="18"/>
                <w:highlight w:val="none"/>
                <w:lang w:val="en-US" w:eastAsia="zh-CN" w:bidi="ar"/>
              </w:rPr>
              <w:t>15、董事会运作的其他创新举措</w:t>
            </w:r>
          </w:p>
        </w:tc>
        <w:tc>
          <w:tcPr>
            <w:tcW w:w="1071" w:type="pct"/>
            <w:noWrap w:val="0"/>
            <w:tcMar>
              <w:top w:w="12" w:type="dxa"/>
              <w:left w:w="12" w:type="dxa"/>
              <w:right w:w="12" w:type="dxa"/>
            </w:tcMar>
            <w:vAlign w:val="center"/>
          </w:tcPr>
          <w:p>
            <w:pPr>
              <w:keepNext w:val="0"/>
              <w:keepLines w:val="0"/>
              <w:widowControl/>
              <w:suppressLineNumbers w:val="0"/>
              <w:jc w:val="left"/>
              <w:textAlignment w:val="center"/>
              <w:rPr>
                <w:rStyle w:val="5"/>
                <w:rFonts w:hint="eastAsia" w:ascii="仿宋" w:hAnsi="仿宋" w:eastAsia="仿宋" w:cs="仿宋"/>
                <w:color w:val="auto"/>
                <w:sz w:val="18"/>
                <w:szCs w:val="18"/>
                <w:highlight w:val="none"/>
                <w:lang w:val="en-US" w:eastAsia="zh-CN" w:bidi="ar"/>
              </w:rPr>
            </w:pPr>
          </w:p>
        </w:tc>
      </w:tr>
    </w:tbl>
    <w:p>
      <w:pPr>
        <w:numPr>
          <w:ilvl w:val="0"/>
          <w:numId w:val="0"/>
        </w:numPr>
        <w:rPr>
          <w:rFonts w:hint="default" w:ascii="Times New Roman" w:hAnsi="Times New Roman" w:eastAsia="仿宋"/>
          <w:w w:val="100"/>
          <w:sz w:val="32"/>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ZWI0YjZhNWQ2MzU0Y2MwYzE4YTIxZTEzMzE3YjIifQ=="/>
  </w:docVars>
  <w:rsids>
    <w:rsidRoot w:val="06993CDE"/>
    <w:rsid w:val="05D21C08"/>
    <w:rsid w:val="06993CDE"/>
    <w:rsid w:val="3D7A6E34"/>
    <w:rsid w:val="4B204A76"/>
    <w:rsid w:val="593167C1"/>
    <w:rsid w:val="5DE47A17"/>
    <w:rsid w:val="6DAA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01"/>
    <w:basedOn w:val="3"/>
    <w:qFormat/>
    <w:uiPriority w:val="0"/>
    <w:rPr>
      <w:rFonts w:hint="eastAsia" w:ascii="宋体" w:hAnsi="宋体" w:eastAsia="宋体" w:cs="宋体"/>
      <w:color w:val="000000"/>
      <w:sz w:val="16"/>
      <w:szCs w:val="16"/>
      <w:u w:val="none"/>
    </w:rPr>
  </w:style>
  <w:style w:type="character" w:customStyle="1" w:styleId="6">
    <w:name w:val="font3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3306</Words>
  <Characters>3403</Characters>
  <Lines>0</Lines>
  <Paragraphs>0</Paragraphs>
  <TotalTime>6</TotalTime>
  <ScaleCrop>false</ScaleCrop>
  <LinksUpToDate>false</LinksUpToDate>
  <CharactersWithSpaces>3445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2024-07-08T01:46:00Z</dcterms:created>
  <dc:creator>bonjour！</dc:creator>
  <cp:lastModifiedBy>bonjour！</cp:lastModifiedBy>
  <dcterms:modified xsi:type="dcterms:W3CDTF">2024-07-09T06:17:49Z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001C0029BFED434CADDF8126FF179300_11</vt:lpwstr>
  </property>
</Properties>
</file>