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BA801">
      <w:pPr>
        <w:keepNext/>
        <w:keepLines/>
        <w:widowControl w:val="0"/>
        <w:spacing w:before="100" w:after="100" w:line="360" w:lineRule="auto"/>
        <w:jc w:val="center"/>
        <w:outlineLvl w:val="0"/>
        <w:rPr>
          <w:rFonts w:hint="default" w:ascii="Times New Roman" w:hAnsi="Times New Roman" w:eastAsia="方正小标宋简体" w:cs="Times New Roman"/>
          <w:b w:val="0"/>
          <w:bCs w:val="0"/>
          <w:kern w:val="44"/>
          <w:sz w:val="36"/>
          <w:szCs w:val="36"/>
          <w:lang w:val="en-US" w:eastAsia="zh-CN" w:bidi="ar-SA"/>
        </w:rPr>
      </w:pPr>
      <w:bookmarkStart w:id="0" w:name="_Toc2203"/>
      <w:r>
        <w:rPr>
          <w:rFonts w:hint="eastAsia" w:ascii="Times New Roman" w:hAnsi="Times New Roman" w:eastAsia="方正小标宋简体" w:cs="Times New Roman"/>
          <w:b w:val="0"/>
          <w:bCs w:val="0"/>
          <w:kern w:val="44"/>
          <w:sz w:val="36"/>
          <w:szCs w:val="36"/>
          <w:lang w:val="en-US" w:eastAsia="zh-CN" w:bidi="ar-SA"/>
        </w:rPr>
        <w:t>2024</w:t>
      </w:r>
      <w:r>
        <w:rPr>
          <w:rFonts w:hint="default" w:ascii="Times New Roman" w:hAnsi="Times New Roman" w:eastAsia="方正小标宋简体" w:cs="Times New Roman"/>
          <w:b w:val="0"/>
          <w:bCs w:val="0"/>
          <w:kern w:val="44"/>
          <w:sz w:val="36"/>
          <w:szCs w:val="36"/>
          <w:lang w:val="en-US" w:eastAsia="zh-CN" w:bidi="ar-SA"/>
        </w:rPr>
        <w:t>上市公司董事会秘书履职</w:t>
      </w:r>
      <w:bookmarkEnd w:id="0"/>
      <w:r>
        <w:rPr>
          <w:rFonts w:hint="eastAsia" w:ascii="Times New Roman" w:hAnsi="Times New Roman" w:eastAsia="方正小标宋简体" w:cs="Times New Roman"/>
          <w:b w:val="0"/>
          <w:bCs w:val="0"/>
          <w:kern w:val="44"/>
          <w:sz w:val="36"/>
          <w:szCs w:val="36"/>
          <w:lang w:val="en-US" w:eastAsia="zh-CN" w:bidi="ar-SA"/>
        </w:rPr>
        <w:t>评价申报信息表</w:t>
      </w:r>
    </w:p>
    <w:tbl>
      <w:tblPr>
        <w:tblStyle w:val="2"/>
        <w:tblW w:w="14846" w:type="dxa"/>
        <w:jc w:val="center"/>
        <w:tblLayout w:type="fixed"/>
        <w:tblCellMar>
          <w:top w:w="0" w:type="dxa"/>
          <w:left w:w="108" w:type="dxa"/>
          <w:bottom w:w="0" w:type="dxa"/>
          <w:right w:w="108" w:type="dxa"/>
        </w:tblCellMar>
      </w:tblPr>
      <w:tblGrid>
        <w:gridCol w:w="1229"/>
        <w:gridCol w:w="1536"/>
        <w:gridCol w:w="2935"/>
        <w:gridCol w:w="6214"/>
        <w:gridCol w:w="2932"/>
      </w:tblGrid>
      <w:tr w14:paraId="0A4253B0">
        <w:tblPrEx>
          <w:tblCellMar>
            <w:top w:w="0" w:type="dxa"/>
            <w:left w:w="108" w:type="dxa"/>
            <w:bottom w:w="0" w:type="dxa"/>
            <w:right w:w="108" w:type="dxa"/>
          </w:tblCellMar>
        </w:tblPrEx>
        <w:trPr>
          <w:trHeight w:val="689" w:hRule="atLeast"/>
          <w:jc w:val="center"/>
        </w:trPr>
        <w:tc>
          <w:tcPr>
            <w:tcW w:w="1229" w:type="dxa"/>
            <w:tcBorders>
              <w:top w:val="single" w:color="auto" w:sz="4" w:space="0"/>
              <w:left w:val="single" w:color="auto" w:sz="4" w:space="0"/>
              <w:bottom w:val="single" w:color="auto" w:sz="4" w:space="0"/>
              <w:right w:val="single" w:color="auto" w:sz="4" w:space="0"/>
            </w:tcBorders>
            <w:vAlign w:val="center"/>
          </w:tcPr>
          <w:p w14:paraId="0370D18F">
            <w:pPr>
              <w:widowControl/>
              <w:spacing w:line="240" w:lineRule="auto"/>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项目</w:t>
            </w:r>
          </w:p>
        </w:tc>
        <w:tc>
          <w:tcPr>
            <w:tcW w:w="1536" w:type="dxa"/>
            <w:tcBorders>
              <w:top w:val="single" w:color="auto" w:sz="4" w:space="0"/>
              <w:left w:val="single" w:color="auto" w:sz="4" w:space="0"/>
              <w:bottom w:val="single" w:color="auto" w:sz="4" w:space="0"/>
              <w:right w:val="single" w:color="auto" w:sz="4" w:space="0"/>
            </w:tcBorders>
            <w:vAlign w:val="center"/>
          </w:tcPr>
          <w:p w14:paraId="0DD3E1C2">
            <w:pPr>
              <w:widowControl/>
              <w:spacing w:line="240" w:lineRule="auto"/>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内容</w:t>
            </w:r>
          </w:p>
        </w:tc>
        <w:tc>
          <w:tcPr>
            <w:tcW w:w="2935" w:type="dxa"/>
            <w:tcBorders>
              <w:top w:val="single" w:color="auto" w:sz="4" w:space="0"/>
              <w:left w:val="single" w:color="auto" w:sz="4" w:space="0"/>
              <w:bottom w:val="single" w:color="auto" w:sz="4" w:space="0"/>
              <w:right w:val="single" w:color="auto" w:sz="4" w:space="0"/>
            </w:tcBorders>
            <w:vAlign w:val="center"/>
          </w:tcPr>
          <w:p w14:paraId="05883497">
            <w:pPr>
              <w:widowControl/>
              <w:spacing w:line="240" w:lineRule="auto"/>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申报要点</w:t>
            </w:r>
          </w:p>
        </w:tc>
        <w:tc>
          <w:tcPr>
            <w:tcW w:w="6214" w:type="dxa"/>
            <w:tcBorders>
              <w:top w:val="single" w:color="auto" w:sz="4" w:space="0"/>
              <w:left w:val="single" w:color="auto" w:sz="4" w:space="0"/>
              <w:bottom w:val="single" w:color="auto" w:sz="4" w:space="0"/>
              <w:right w:val="single" w:color="auto" w:sz="4" w:space="0"/>
            </w:tcBorders>
            <w:vAlign w:val="center"/>
          </w:tcPr>
          <w:p w14:paraId="57EAEA44">
            <w:pPr>
              <w:widowControl/>
              <w:spacing w:line="240" w:lineRule="auto"/>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信息填报要求</w:t>
            </w:r>
          </w:p>
        </w:tc>
        <w:tc>
          <w:tcPr>
            <w:tcW w:w="2932" w:type="dxa"/>
            <w:tcBorders>
              <w:top w:val="single" w:color="auto" w:sz="4" w:space="0"/>
              <w:left w:val="single" w:color="auto" w:sz="4" w:space="0"/>
              <w:bottom w:val="single" w:color="auto" w:sz="4" w:space="0"/>
              <w:right w:val="single" w:color="auto" w:sz="4" w:space="0"/>
            </w:tcBorders>
            <w:vAlign w:val="center"/>
          </w:tcPr>
          <w:p w14:paraId="3202AEBF">
            <w:pPr>
              <w:widowControl/>
              <w:spacing w:line="240" w:lineRule="auto"/>
              <w:jc w:val="center"/>
              <w:rPr>
                <w:rFonts w:hint="eastAsia" w:ascii="Times New Roman" w:hAnsi="Times New Roman" w:eastAsia="黑体" w:cs="Times New Roman"/>
                <w:kern w:val="0"/>
                <w:sz w:val="28"/>
                <w:szCs w:val="28"/>
                <w:lang w:val="en-US" w:eastAsia="zh-CN"/>
              </w:rPr>
            </w:pPr>
            <w:r>
              <w:rPr>
                <w:rFonts w:hint="eastAsia" w:ascii="Times New Roman" w:hAnsi="Times New Roman" w:eastAsia="黑体" w:cs="Times New Roman"/>
                <w:kern w:val="0"/>
                <w:sz w:val="28"/>
                <w:szCs w:val="28"/>
                <w:lang w:val="en-US" w:eastAsia="zh-CN"/>
              </w:rPr>
              <w:t>填报内容</w:t>
            </w:r>
          </w:p>
        </w:tc>
      </w:tr>
      <w:tr w14:paraId="068E7348">
        <w:tblPrEx>
          <w:tblCellMar>
            <w:top w:w="0" w:type="dxa"/>
            <w:left w:w="108" w:type="dxa"/>
            <w:bottom w:w="0" w:type="dxa"/>
            <w:right w:w="108" w:type="dxa"/>
          </w:tblCellMar>
        </w:tblPrEx>
        <w:trPr>
          <w:trHeight w:val="1100" w:hRule="atLeast"/>
          <w:jc w:val="center"/>
        </w:trPr>
        <w:tc>
          <w:tcPr>
            <w:tcW w:w="1229" w:type="dxa"/>
            <w:vMerge w:val="restart"/>
            <w:tcBorders>
              <w:top w:val="single" w:color="auto" w:sz="4" w:space="0"/>
              <w:left w:val="single" w:color="auto" w:sz="4" w:space="0"/>
              <w:right w:val="single" w:color="auto" w:sz="4" w:space="0"/>
            </w:tcBorders>
            <w:vAlign w:val="center"/>
          </w:tcPr>
          <w:p w14:paraId="383F06B2">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黑体" w:cs="Times New Roman"/>
                <w:kern w:val="0"/>
                <w:sz w:val="20"/>
                <w:szCs w:val="20"/>
              </w:rPr>
              <w:t>一、基本情况</w:t>
            </w:r>
          </w:p>
        </w:tc>
        <w:tc>
          <w:tcPr>
            <w:tcW w:w="1536" w:type="dxa"/>
            <w:vMerge w:val="restart"/>
            <w:tcBorders>
              <w:top w:val="single" w:color="auto" w:sz="4" w:space="0"/>
              <w:left w:val="single" w:color="auto" w:sz="4" w:space="0"/>
              <w:bottom w:val="single" w:color="auto" w:sz="4" w:space="0"/>
              <w:right w:val="single" w:color="auto" w:sz="4" w:space="0"/>
            </w:tcBorders>
            <w:vAlign w:val="center"/>
          </w:tcPr>
          <w:p w14:paraId="326BB448">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董事会秘书个人基本情况</w:t>
            </w:r>
          </w:p>
        </w:tc>
        <w:tc>
          <w:tcPr>
            <w:tcW w:w="2935" w:type="dxa"/>
            <w:tcBorders>
              <w:top w:val="single" w:color="auto" w:sz="4" w:space="0"/>
              <w:left w:val="single" w:color="auto" w:sz="4" w:space="0"/>
              <w:bottom w:val="single" w:color="auto" w:sz="4" w:space="0"/>
              <w:right w:val="single" w:color="auto" w:sz="4" w:space="0"/>
            </w:tcBorders>
            <w:vAlign w:val="center"/>
          </w:tcPr>
          <w:p w14:paraId="507E1C2B">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任职年限。</w:t>
            </w:r>
          </w:p>
        </w:tc>
        <w:tc>
          <w:tcPr>
            <w:tcW w:w="6214" w:type="dxa"/>
            <w:tcBorders>
              <w:top w:val="single" w:color="auto" w:sz="4" w:space="0"/>
              <w:left w:val="single" w:color="auto" w:sz="4" w:space="0"/>
              <w:bottom w:val="single" w:color="auto" w:sz="4" w:space="0"/>
              <w:right w:val="single" w:color="auto" w:sz="4" w:space="0"/>
            </w:tcBorders>
            <w:vAlign w:val="center"/>
          </w:tcPr>
          <w:p w14:paraId="574067DD">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从第一家公司董事会审议通过聘任董事会秘书起算至报名截止日期前（上市前已聘请的自挂牌上市日起算），单位为年。在职不满1年的按1年计算。</w:t>
            </w:r>
          </w:p>
        </w:tc>
        <w:tc>
          <w:tcPr>
            <w:tcW w:w="2932" w:type="dxa"/>
            <w:tcBorders>
              <w:top w:val="single" w:color="auto" w:sz="4" w:space="0"/>
              <w:left w:val="single" w:color="auto" w:sz="4" w:space="0"/>
              <w:bottom w:val="single" w:color="auto" w:sz="4" w:space="0"/>
              <w:right w:val="single" w:color="auto" w:sz="4" w:space="0"/>
            </w:tcBorders>
            <w:vAlign w:val="center"/>
          </w:tcPr>
          <w:p w14:paraId="7E1F76FB">
            <w:pPr>
              <w:widowControl/>
              <w:spacing w:line="240" w:lineRule="auto"/>
              <w:jc w:val="left"/>
              <w:rPr>
                <w:rFonts w:hint="default" w:ascii="Times New Roman" w:hAnsi="Times New Roman" w:eastAsia="宋体" w:cs="Times New Roman"/>
                <w:kern w:val="0"/>
                <w:sz w:val="20"/>
                <w:szCs w:val="20"/>
              </w:rPr>
            </w:pPr>
          </w:p>
        </w:tc>
      </w:tr>
      <w:tr w14:paraId="67B63BC4">
        <w:tblPrEx>
          <w:tblCellMar>
            <w:top w:w="0" w:type="dxa"/>
            <w:left w:w="108" w:type="dxa"/>
            <w:bottom w:w="0" w:type="dxa"/>
            <w:right w:w="108" w:type="dxa"/>
          </w:tblCellMar>
        </w:tblPrEx>
        <w:trPr>
          <w:trHeight w:val="276" w:hRule="atLeast"/>
          <w:jc w:val="center"/>
        </w:trPr>
        <w:tc>
          <w:tcPr>
            <w:tcW w:w="1229" w:type="dxa"/>
            <w:vMerge w:val="continue"/>
            <w:tcBorders>
              <w:left w:val="single" w:color="auto" w:sz="4" w:space="0"/>
              <w:right w:val="single" w:color="auto" w:sz="4" w:space="0"/>
            </w:tcBorders>
            <w:vAlign w:val="center"/>
          </w:tcPr>
          <w:p w14:paraId="6164563B">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770C9642">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6C68174C">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履职保障</w:t>
            </w:r>
            <w:r>
              <w:rPr>
                <w:rFonts w:hint="default" w:ascii="Times New Roman" w:hAnsi="Times New Roman" w:eastAsia="宋体" w:cs="Times New Roman"/>
                <w:kern w:val="0"/>
                <w:sz w:val="20"/>
                <w:szCs w:val="20"/>
              </w:rPr>
              <w:t>。</w:t>
            </w:r>
          </w:p>
        </w:tc>
        <w:tc>
          <w:tcPr>
            <w:tcW w:w="6214" w:type="dxa"/>
            <w:tcBorders>
              <w:top w:val="single" w:color="auto" w:sz="4" w:space="0"/>
              <w:left w:val="single" w:color="auto" w:sz="4" w:space="0"/>
              <w:bottom w:val="single" w:color="auto" w:sz="4" w:space="0"/>
              <w:right w:val="single" w:color="auto" w:sz="4" w:space="0"/>
            </w:tcBorders>
            <w:vAlign w:val="center"/>
          </w:tcPr>
          <w:p w14:paraId="2EA16494">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w:t>
            </w:r>
            <w:r>
              <w:rPr>
                <w:rFonts w:hint="default" w:ascii="Times New Roman" w:hAnsi="Times New Roman" w:eastAsia="宋体" w:cs="Times New Roman"/>
                <w:kern w:val="0"/>
                <w:sz w:val="20"/>
                <w:szCs w:val="20"/>
                <w:lang w:val="en-US" w:eastAsia="zh-CN"/>
              </w:rPr>
              <w:t>请列明保障</w:t>
            </w:r>
            <w:r>
              <w:rPr>
                <w:rFonts w:hint="default" w:ascii="Times New Roman" w:hAnsi="Times New Roman" w:eastAsia="宋体" w:cs="Times New Roman"/>
                <w:kern w:val="0"/>
                <w:sz w:val="20"/>
                <w:szCs w:val="20"/>
              </w:rPr>
              <w:t>董事会秘书履职所需信息获取渠道畅通</w:t>
            </w:r>
            <w:r>
              <w:rPr>
                <w:rFonts w:hint="default" w:ascii="Times New Roman" w:hAnsi="Times New Roman" w:eastAsia="宋体" w:cs="Times New Roman"/>
                <w:kern w:val="0"/>
                <w:sz w:val="20"/>
                <w:szCs w:val="20"/>
                <w:lang w:val="en-US" w:eastAsia="zh-CN"/>
              </w:rPr>
              <w:t>的</w:t>
            </w:r>
            <w:r>
              <w:rPr>
                <w:rFonts w:hint="default" w:ascii="Times New Roman" w:hAnsi="Times New Roman" w:eastAsia="宋体" w:cs="Times New Roman"/>
                <w:kern w:val="0"/>
                <w:sz w:val="20"/>
                <w:szCs w:val="20"/>
              </w:rPr>
              <w:t>相关制度）</w:t>
            </w:r>
          </w:p>
        </w:tc>
        <w:tc>
          <w:tcPr>
            <w:tcW w:w="2932" w:type="dxa"/>
            <w:tcBorders>
              <w:top w:val="single" w:color="auto" w:sz="4" w:space="0"/>
              <w:left w:val="single" w:color="auto" w:sz="4" w:space="0"/>
              <w:bottom w:val="single" w:color="auto" w:sz="4" w:space="0"/>
              <w:right w:val="single" w:color="auto" w:sz="4" w:space="0"/>
            </w:tcBorders>
            <w:vAlign w:val="center"/>
          </w:tcPr>
          <w:p w14:paraId="40E5ED69">
            <w:pPr>
              <w:widowControl/>
              <w:spacing w:line="240" w:lineRule="auto"/>
              <w:jc w:val="left"/>
              <w:rPr>
                <w:rFonts w:hint="default" w:ascii="Times New Roman" w:hAnsi="Times New Roman" w:eastAsia="宋体" w:cs="Times New Roman"/>
                <w:kern w:val="0"/>
                <w:sz w:val="20"/>
                <w:szCs w:val="20"/>
              </w:rPr>
            </w:pPr>
          </w:p>
        </w:tc>
      </w:tr>
      <w:tr w14:paraId="5DC66998">
        <w:tblPrEx>
          <w:tblCellMar>
            <w:top w:w="0" w:type="dxa"/>
            <w:left w:w="108" w:type="dxa"/>
            <w:bottom w:w="0" w:type="dxa"/>
            <w:right w:w="108" w:type="dxa"/>
          </w:tblCellMar>
        </w:tblPrEx>
        <w:trPr>
          <w:trHeight w:val="612" w:hRule="atLeast"/>
          <w:jc w:val="center"/>
        </w:trPr>
        <w:tc>
          <w:tcPr>
            <w:tcW w:w="1229" w:type="dxa"/>
            <w:vMerge w:val="continue"/>
            <w:tcBorders>
              <w:left w:val="single" w:color="auto" w:sz="4" w:space="0"/>
              <w:right w:val="single" w:color="auto" w:sz="4" w:space="0"/>
            </w:tcBorders>
            <w:vAlign w:val="center"/>
          </w:tcPr>
          <w:p w14:paraId="33959CDF">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6E542FB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250B7906">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每年按规定参加行业主管部门或上市公司自律组织</w:t>
            </w:r>
            <w:r>
              <w:rPr>
                <w:rFonts w:hint="default" w:ascii="Times New Roman" w:hAnsi="Times New Roman" w:eastAsia="宋体" w:cs="Times New Roman"/>
                <w:kern w:val="0"/>
                <w:sz w:val="20"/>
                <w:szCs w:val="20"/>
                <w:highlight w:val="none"/>
                <w:lang w:val="en-US" w:eastAsia="zh-CN"/>
              </w:rPr>
              <w:t>以</w:t>
            </w:r>
            <w:r>
              <w:rPr>
                <w:rFonts w:hint="default" w:ascii="Times New Roman" w:hAnsi="Times New Roman" w:eastAsia="宋体" w:cs="Times New Roman"/>
                <w:kern w:val="0"/>
                <w:sz w:val="20"/>
                <w:szCs w:val="20"/>
                <w:highlight w:val="none"/>
              </w:rPr>
              <w:t>及公司内部组织的培训情况。</w:t>
            </w:r>
          </w:p>
        </w:tc>
        <w:tc>
          <w:tcPr>
            <w:tcW w:w="6214" w:type="dxa"/>
            <w:tcBorders>
              <w:top w:val="single" w:color="auto" w:sz="4" w:space="0"/>
              <w:left w:val="single" w:color="auto" w:sz="4" w:space="0"/>
              <w:bottom w:val="single" w:color="auto" w:sz="4" w:space="0"/>
              <w:right w:val="single" w:color="auto" w:sz="4" w:space="0"/>
            </w:tcBorders>
            <w:vAlign w:val="center"/>
          </w:tcPr>
          <w:p w14:paraId="65AC902B">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至报名截止日期前参加培训X次、培训机构及主要内容）</w:t>
            </w:r>
          </w:p>
        </w:tc>
        <w:tc>
          <w:tcPr>
            <w:tcW w:w="2932" w:type="dxa"/>
            <w:tcBorders>
              <w:top w:val="single" w:color="auto" w:sz="4" w:space="0"/>
              <w:left w:val="single" w:color="auto" w:sz="4" w:space="0"/>
              <w:bottom w:val="single" w:color="auto" w:sz="4" w:space="0"/>
              <w:right w:val="single" w:color="auto" w:sz="4" w:space="0"/>
            </w:tcBorders>
            <w:vAlign w:val="center"/>
          </w:tcPr>
          <w:p w14:paraId="368202F4">
            <w:pPr>
              <w:widowControl/>
              <w:spacing w:line="240" w:lineRule="auto"/>
              <w:jc w:val="left"/>
              <w:rPr>
                <w:rFonts w:hint="default" w:ascii="Times New Roman" w:hAnsi="Times New Roman" w:eastAsia="宋体" w:cs="Times New Roman"/>
                <w:kern w:val="0"/>
                <w:sz w:val="20"/>
                <w:szCs w:val="20"/>
                <w:highlight w:val="none"/>
              </w:rPr>
            </w:pPr>
          </w:p>
        </w:tc>
      </w:tr>
      <w:tr w14:paraId="6E30A373">
        <w:tblPrEx>
          <w:tblCellMar>
            <w:top w:w="0" w:type="dxa"/>
            <w:left w:w="108" w:type="dxa"/>
            <w:bottom w:w="0" w:type="dxa"/>
            <w:right w:w="108" w:type="dxa"/>
          </w:tblCellMar>
        </w:tblPrEx>
        <w:trPr>
          <w:trHeight w:val="788" w:hRule="atLeast"/>
          <w:jc w:val="center"/>
        </w:trPr>
        <w:tc>
          <w:tcPr>
            <w:tcW w:w="1229" w:type="dxa"/>
            <w:vMerge w:val="continue"/>
            <w:tcBorders>
              <w:left w:val="single" w:color="auto" w:sz="4" w:space="0"/>
              <w:right w:val="single" w:color="auto" w:sz="4" w:space="0"/>
            </w:tcBorders>
            <w:vAlign w:val="center"/>
          </w:tcPr>
          <w:p w14:paraId="12FDF36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506DE948">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7D4245F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董事会秘书获得证券监管</w:t>
            </w:r>
            <w:r>
              <w:rPr>
                <w:rFonts w:hint="default" w:ascii="Times New Roman" w:hAnsi="Times New Roman" w:eastAsia="宋体" w:cs="Times New Roman"/>
                <w:kern w:val="0"/>
                <w:sz w:val="20"/>
                <w:szCs w:val="20"/>
                <w:highlight w:val="none"/>
                <w:lang w:val="en-US" w:eastAsia="zh-CN"/>
              </w:rPr>
              <w:t>机构</w:t>
            </w:r>
            <w:r>
              <w:rPr>
                <w:rFonts w:hint="default" w:ascii="Times New Roman" w:hAnsi="Times New Roman" w:eastAsia="宋体" w:cs="Times New Roman"/>
                <w:kern w:val="0"/>
                <w:sz w:val="20"/>
                <w:szCs w:val="20"/>
                <w:highlight w:val="none"/>
              </w:rPr>
              <w:t>或其他国家机关、全国性自律组织表彰情况。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4397F740">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至报名截止日期前获奖X次、评奖机构和具体奖项内容）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0D6A46C4">
            <w:pPr>
              <w:widowControl/>
              <w:spacing w:line="240" w:lineRule="auto"/>
              <w:jc w:val="left"/>
              <w:rPr>
                <w:rFonts w:hint="default" w:ascii="Times New Roman" w:hAnsi="Times New Roman" w:eastAsia="宋体" w:cs="Times New Roman"/>
                <w:kern w:val="0"/>
                <w:sz w:val="20"/>
                <w:szCs w:val="20"/>
                <w:highlight w:val="none"/>
              </w:rPr>
            </w:pPr>
          </w:p>
        </w:tc>
      </w:tr>
      <w:tr w14:paraId="140F170C">
        <w:tblPrEx>
          <w:tblCellMar>
            <w:top w:w="0" w:type="dxa"/>
            <w:left w:w="108" w:type="dxa"/>
            <w:bottom w:w="0" w:type="dxa"/>
            <w:right w:w="108" w:type="dxa"/>
          </w:tblCellMar>
        </w:tblPrEx>
        <w:trPr>
          <w:trHeight w:val="384" w:hRule="atLeast"/>
          <w:jc w:val="center"/>
        </w:trPr>
        <w:tc>
          <w:tcPr>
            <w:tcW w:w="1229" w:type="dxa"/>
            <w:vMerge w:val="continue"/>
            <w:tcBorders>
              <w:left w:val="single" w:color="auto" w:sz="4" w:space="0"/>
              <w:right w:val="single" w:color="auto" w:sz="4" w:space="0"/>
            </w:tcBorders>
            <w:vAlign w:val="center"/>
          </w:tcPr>
          <w:p w14:paraId="727E814F">
            <w:pPr>
              <w:widowControl/>
              <w:spacing w:line="240" w:lineRule="auto"/>
              <w:jc w:val="left"/>
              <w:rPr>
                <w:rFonts w:hint="default" w:ascii="Times New Roman" w:hAnsi="Times New Roman" w:eastAsia="宋体" w:cs="Times New Roman"/>
                <w:kern w:val="0"/>
                <w:sz w:val="20"/>
                <w:szCs w:val="20"/>
              </w:rPr>
            </w:pPr>
          </w:p>
        </w:tc>
        <w:tc>
          <w:tcPr>
            <w:tcW w:w="1536" w:type="dxa"/>
            <w:vMerge w:val="restart"/>
            <w:tcBorders>
              <w:top w:val="single" w:color="auto" w:sz="4" w:space="0"/>
              <w:left w:val="single" w:color="auto" w:sz="4" w:space="0"/>
              <w:right w:val="single" w:color="auto" w:sz="4" w:space="0"/>
            </w:tcBorders>
            <w:vAlign w:val="center"/>
          </w:tcPr>
          <w:p w14:paraId="4F65A3A3">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工作机构和制度建设</w:t>
            </w:r>
          </w:p>
          <w:p w14:paraId="5E783DB2">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42C8D54B">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设置专门</w:t>
            </w:r>
            <w:r>
              <w:rPr>
                <w:rFonts w:hint="default" w:ascii="Times New Roman" w:hAnsi="Times New Roman" w:eastAsia="宋体" w:cs="Times New Roman"/>
                <w:kern w:val="0"/>
                <w:sz w:val="20"/>
                <w:szCs w:val="20"/>
                <w:lang w:val="en-US" w:eastAsia="zh-CN"/>
              </w:rPr>
              <w:t>工作</w:t>
            </w:r>
            <w:r>
              <w:rPr>
                <w:rFonts w:hint="default" w:ascii="Times New Roman" w:hAnsi="Times New Roman" w:eastAsia="宋体" w:cs="Times New Roman"/>
                <w:kern w:val="0"/>
                <w:sz w:val="20"/>
                <w:szCs w:val="20"/>
              </w:rPr>
              <w:t>机构，并配备专职工作人员的情况。</w:t>
            </w:r>
          </w:p>
        </w:tc>
        <w:tc>
          <w:tcPr>
            <w:tcW w:w="6214" w:type="dxa"/>
            <w:tcBorders>
              <w:top w:val="single" w:color="auto" w:sz="4" w:space="0"/>
              <w:left w:val="single" w:color="auto" w:sz="4" w:space="0"/>
              <w:bottom w:val="single" w:color="auto" w:sz="4" w:space="0"/>
              <w:right w:val="single" w:color="auto" w:sz="4" w:space="0"/>
            </w:tcBorders>
            <w:vAlign w:val="center"/>
          </w:tcPr>
          <w:p w14:paraId="09947858">
            <w:pPr>
              <w:widowControl/>
              <w:spacing w:line="240" w:lineRule="auto"/>
              <w:jc w:val="left"/>
              <w:rPr>
                <w:rFonts w:hint="default" w:ascii="Times New Roman" w:hAnsi="Times New Roman" w:eastAsia="宋体" w:cs="Times New Roman"/>
                <w:sz w:val="22"/>
                <w:szCs w:val="15"/>
              </w:rPr>
            </w:pPr>
            <w:r>
              <w:rPr>
                <w:rFonts w:hint="default" w:ascii="Times New Roman" w:hAnsi="Times New Roman" w:eastAsia="宋体" w:cs="Times New Roman"/>
                <w:kern w:val="0"/>
                <w:sz w:val="20"/>
                <w:szCs w:val="20"/>
              </w:rPr>
              <w:t>是/否。（如填“是”，请列明工作机构名称，专职工作人员人数，如：XXX办公室，配备X人）</w:t>
            </w:r>
          </w:p>
        </w:tc>
        <w:tc>
          <w:tcPr>
            <w:tcW w:w="2932" w:type="dxa"/>
            <w:tcBorders>
              <w:top w:val="single" w:color="auto" w:sz="4" w:space="0"/>
              <w:left w:val="single" w:color="auto" w:sz="4" w:space="0"/>
              <w:bottom w:val="single" w:color="auto" w:sz="4" w:space="0"/>
              <w:right w:val="single" w:color="auto" w:sz="4" w:space="0"/>
            </w:tcBorders>
            <w:vAlign w:val="center"/>
          </w:tcPr>
          <w:p w14:paraId="2D743BE2">
            <w:pPr>
              <w:widowControl/>
              <w:spacing w:line="240" w:lineRule="auto"/>
              <w:jc w:val="left"/>
              <w:rPr>
                <w:rFonts w:hint="default" w:ascii="Times New Roman" w:hAnsi="Times New Roman" w:eastAsia="宋体" w:cs="Times New Roman"/>
                <w:kern w:val="0"/>
                <w:sz w:val="20"/>
                <w:szCs w:val="20"/>
              </w:rPr>
            </w:pPr>
          </w:p>
        </w:tc>
      </w:tr>
      <w:tr w14:paraId="0E2FFC62">
        <w:tblPrEx>
          <w:tblCellMar>
            <w:top w:w="0" w:type="dxa"/>
            <w:left w:w="108" w:type="dxa"/>
            <w:bottom w:w="0" w:type="dxa"/>
            <w:right w:w="108" w:type="dxa"/>
          </w:tblCellMar>
        </w:tblPrEx>
        <w:trPr>
          <w:trHeight w:val="645" w:hRule="atLeast"/>
          <w:jc w:val="center"/>
        </w:trPr>
        <w:tc>
          <w:tcPr>
            <w:tcW w:w="1229" w:type="dxa"/>
            <w:vMerge w:val="continue"/>
            <w:tcBorders>
              <w:left w:val="single" w:color="auto" w:sz="4" w:space="0"/>
              <w:right w:val="single" w:color="auto" w:sz="4" w:space="0"/>
            </w:tcBorders>
            <w:vAlign w:val="center"/>
          </w:tcPr>
          <w:p w14:paraId="54F567D2">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250C1556">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60D59222">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是否建立董事会秘书工作制度。</w:t>
            </w:r>
          </w:p>
        </w:tc>
        <w:tc>
          <w:tcPr>
            <w:tcW w:w="6214" w:type="dxa"/>
            <w:tcBorders>
              <w:top w:val="single" w:color="auto" w:sz="4" w:space="0"/>
              <w:left w:val="single" w:color="auto" w:sz="4" w:space="0"/>
              <w:bottom w:val="single" w:color="auto" w:sz="4" w:space="0"/>
              <w:right w:val="single" w:color="auto" w:sz="4" w:space="0"/>
            </w:tcBorders>
            <w:vAlign w:val="center"/>
          </w:tcPr>
          <w:p w14:paraId="7E07100F">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1CA395C9">
            <w:pPr>
              <w:widowControl/>
              <w:spacing w:line="240" w:lineRule="auto"/>
              <w:jc w:val="left"/>
              <w:rPr>
                <w:rFonts w:hint="default" w:ascii="Times New Roman" w:hAnsi="Times New Roman" w:eastAsia="宋体" w:cs="Times New Roman"/>
                <w:kern w:val="0"/>
                <w:sz w:val="20"/>
                <w:szCs w:val="20"/>
              </w:rPr>
            </w:pPr>
          </w:p>
        </w:tc>
      </w:tr>
      <w:tr w14:paraId="691F794E">
        <w:tblPrEx>
          <w:tblCellMar>
            <w:top w:w="0" w:type="dxa"/>
            <w:left w:w="108" w:type="dxa"/>
            <w:bottom w:w="0" w:type="dxa"/>
            <w:right w:w="108" w:type="dxa"/>
          </w:tblCellMar>
        </w:tblPrEx>
        <w:trPr>
          <w:trHeight w:val="90" w:hRule="atLeast"/>
          <w:jc w:val="center"/>
        </w:trPr>
        <w:tc>
          <w:tcPr>
            <w:tcW w:w="1229" w:type="dxa"/>
            <w:vMerge w:val="continue"/>
            <w:tcBorders>
              <w:left w:val="single" w:color="auto" w:sz="4" w:space="0"/>
              <w:right w:val="single" w:color="auto" w:sz="4" w:space="0"/>
            </w:tcBorders>
            <w:vAlign w:val="center"/>
          </w:tcPr>
          <w:p w14:paraId="4122BD1A">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4DBC726A">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794CDED0">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是否建立了完善的</w:t>
            </w:r>
            <w:r>
              <w:rPr>
                <w:rFonts w:hint="default" w:ascii="Times New Roman" w:hAnsi="Times New Roman" w:eastAsia="宋体" w:cs="Times New Roman"/>
                <w:kern w:val="0"/>
                <w:sz w:val="20"/>
                <w:szCs w:val="20"/>
                <w:lang w:val="en-US" w:eastAsia="zh-CN"/>
              </w:rPr>
              <w:t>日常</w:t>
            </w:r>
            <w:r>
              <w:rPr>
                <w:rFonts w:hint="default" w:ascii="Times New Roman" w:hAnsi="Times New Roman" w:eastAsia="宋体" w:cs="Times New Roman"/>
                <w:kern w:val="0"/>
                <w:sz w:val="20"/>
                <w:szCs w:val="20"/>
              </w:rPr>
              <w:t>工作制度。</w:t>
            </w:r>
          </w:p>
        </w:tc>
        <w:tc>
          <w:tcPr>
            <w:tcW w:w="6214" w:type="dxa"/>
            <w:tcBorders>
              <w:top w:val="single" w:color="auto" w:sz="4" w:space="0"/>
              <w:left w:val="single" w:color="auto" w:sz="4" w:space="0"/>
              <w:bottom w:val="single" w:color="auto" w:sz="4" w:space="0"/>
              <w:right w:val="single" w:color="auto" w:sz="4" w:space="0"/>
            </w:tcBorders>
            <w:vAlign w:val="center"/>
          </w:tcPr>
          <w:p w14:paraId="07C3D902">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w:t>
            </w:r>
            <w:r>
              <w:rPr>
                <w:rFonts w:hint="default" w:ascii="Times New Roman" w:hAnsi="Times New Roman" w:eastAsia="宋体" w:cs="Times New Roman"/>
                <w:kern w:val="0"/>
                <w:sz w:val="20"/>
                <w:szCs w:val="20"/>
                <w:lang w:val="en-US" w:eastAsia="zh-CN"/>
              </w:rPr>
              <w:t>日常</w:t>
            </w:r>
            <w:r>
              <w:rPr>
                <w:rFonts w:hint="default" w:ascii="Times New Roman" w:hAnsi="Times New Roman" w:eastAsia="宋体" w:cs="Times New Roman"/>
                <w:kern w:val="0"/>
                <w:sz w:val="20"/>
                <w:szCs w:val="20"/>
              </w:rPr>
              <w:t>工作制度包括但不限于内幕信息登记制度、重大事项报告制度、信息保密制度、舆情管理制度、内外部信息使用制度、董事会办公室档案管理制度、证券事务代表工作细则等，如填“是”，请列明制度名称）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25E760E7">
            <w:pPr>
              <w:widowControl/>
              <w:spacing w:line="240" w:lineRule="auto"/>
              <w:jc w:val="left"/>
              <w:rPr>
                <w:rFonts w:hint="default" w:ascii="Times New Roman" w:hAnsi="Times New Roman" w:eastAsia="宋体" w:cs="Times New Roman"/>
                <w:kern w:val="0"/>
                <w:sz w:val="20"/>
                <w:szCs w:val="20"/>
              </w:rPr>
            </w:pPr>
          </w:p>
        </w:tc>
      </w:tr>
      <w:tr w14:paraId="18637945">
        <w:tblPrEx>
          <w:tblCellMar>
            <w:top w:w="0" w:type="dxa"/>
            <w:left w:w="108" w:type="dxa"/>
            <w:bottom w:w="0" w:type="dxa"/>
            <w:right w:w="108" w:type="dxa"/>
          </w:tblCellMar>
        </w:tblPrEx>
        <w:trPr>
          <w:trHeight w:val="90" w:hRule="atLeast"/>
          <w:jc w:val="center"/>
        </w:trPr>
        <w:tc>
          <w:tcPr>
            <w:tcW w:w="1229" w:type="dxa"/>
            <w:vMerge w:val="continue"/>
            <w:tcBorders>
              <w:left w:val="single" w:color="auto" w:sz="4" w:space="0"/>
              <w:right w:val="single" w:color="auto" w:sz="4" w:space="0"/>
            </w:tcBorders>
            <w:vAlign w:val="center"/>
          </w:tcPr>
          <w:p w14:paraId="659172AE">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20C59E4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BD019B9">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rPr>
              <w:t>专职工作人员参加董事会秘书资格培训及后续培训能够获得公司的支持</w:t>
            </w:r>
            <w:r>
              <w:rPr>
                <w:rFonts w:hint="default" w:ascii="Times New Roman" w:hAnsi="Times New Roman" w:eastAsia="宋体" w:cs="Times New Roman"/>
                <w:kern w:val="0"/>
                <w:sz w:val="20"/>
                <w:szCs w:val="20"/>
                <w:highlight w:val="none"/>
              </w:rPr>
              <w:t>。</w:t>
            </w:r>
          </w:p>
        </w:tc>
        <w:tc>
          <w:tcPr>
            <w:tcW w:w="6214" w:type="dxa"/>
            <w:tcBorders>
              <w:top w:val="single" w:color="auto" w:sz="4" w:space="0"/>
              <w:left w:val="single" w:color="auto" w:sz="4" w:space="0"/>
              <w:bottom w:val="single" w:color="auto" w:sz="4" w:space="0"/>
              <w:right w:val="single" w:color="auto" w:sz="4" w:space="0"/>
            </w:tcBorders>
            <w:vAlign w:val="center"/>
          </w:tcPr>
          <w:p w14:paraId="167F89CD">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rPr>
              <w:t>专职</w:t>
            </w:r>
            <w:r>
              <w:rPr>
                <w:rFonts w:hint="default" w:ascii="Times New Roman" w:hAnsi="Times New Roman" w:eastAsia="宋体" w:cs="Times New Roman"/>
                <w:kern w:val="0"/>
                <w:sz w:val="20"/>
                <w:szCs w:val="20"/>
                <w:highlight w:val="none"/>
                <w:lang w:val="en-US" w:eastAsia="zh-CN"/>
              </w:rPr>
              <w:t>工作</w:t>
            </w:r>
            <w:r>
              <w:rPr>
                <w:rFonts w:hint="default" w:ascii="Times New Roman" w:hAnsi="Times New Roman" w:eastAsia="宋体" w:cs="Times New Roman"/>
                <w:kern w:val="0"/>
                <w:sz w:val="20"/>
                <w:szCs w:val="20"/>
                <w:highlight w:val="none"/>
              </w:rPr>
              <w:t>人员</w:t>
            </w:r>
            <w:r>
              <w:rPr>
                <w:rFonts w:hint="eastAsia" w:ascii="Times New Roman" w:hAnsi="Times New Roman" w:eastAsia="宋体" w:cs="Times New Roman"/>
                <w:kern w:val="0"/>
                <w:sz w:val="20"/>
                <w:szCs w:val="20"/>
                <w:highlight w:val="none"/>
                <w:lang w:eastAsia="zh-CN"/>
              </w:rPr>
              <w:t>（</w:t>
            </w:r>
            <w:r>
              <w:rPr>
                <w:rFonts w:hint="eastAsia" w:ascii="Times New Roman" w:hAnsi="Times New Roman" w:eastAsia="宋体" w:cs="Times New Roman"/>
                <w:kern w:val="0"/>
                <w:sz w:val="20"/>
                <w:szCs w:val="20"/>
                <w:highlight w:val="none"/>
                <w:lang w:val="en-US" w:eastAsia="zh-CN"/>
              </w:rPr>
              <w:t>不含董事会秘书</w:t>
            </w:r>
            <w:r>
              <w:rPr>
                <w:rFonts w:hint="eastAsia"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rPr>
              <w:t>取得董事会秘书资格证并按要求参加后续培训的人数。</w:t>
            </w:r>
          </w:p>
        </w:tc>
        <w:tc>
          <w:tcPr>
            <w:tcW w:w="2932" w:type="dxa"/>
            <w:tcBorders>
              <w:top w:val="single" w:color="auto" w:sz="4" w:space="0"/>
              <w:left w:val="single" w:color="auto" w:sz="4" w:space="0"/>
              <w:bottom w:val="single" w:color="auto" w:sz="4" w:space="0"/>
              <w:right w:val="single" w:color="auto" w:sz="4" w:space="0"/>
            </w:tcBorders>
            <w:vAlign w:val="center"/>
          </w:tcPr>
          <w:p w14:paraId="562B296C">
            <w:pPr>
              <w:widowControl/>
              <w:spacing w:line="240" w:lineRule="auto"/>
              <w:jc w:val="left"/>
              <w:rPr>
                <w:rFonts w:hint="default" w:ascii="Times New Roman" w:hAnsi="Times New Roman" w:eastAsia="宋体" w:cs="Times New Roman"/>
                <w:kern w:val="0"/>
                <w:sz w:val="20"/>
                <w:szCs w:val="20"/>
                <w:highlight w:val="none"/>
                <w:lang w:val="en-US" w:eastAsia="zh-CN" w:bidi="ar-SA"/>
              </w:rPr>
            </w:pPr>
          </w:p>
        </w:tc>
      </w:tr>
      <w:tr w14:paraId="59734FAB">
        <w:tblPrEx>
          <w:tblCellMar>
            <w:top w:w="0" w:type="dxa"/>
            <w:left w:w="108" w:type="dxa"/>
            <w:bottom w:w="0" w:type="dxa"/>
            <w:right w:w="108" w:type="dxa"/>
          </w:tblCellMar>
        </w:tblPrEx>
        <w:trPr>
          <w:trHeight w:val="337" w:hRule="atLeast"/>
          <w:jc w:val="center"/>
        </w:trPr>
        <w:tc>
          <w:tcPr>
            <w:tcW w:w="1229" w:type="dxa"/>
            <w:vMerge w:val="continue"/>
            <w:tcBorders>
              <w:left w:val="single" w:color="auto" w:sz="4" w:space="0"/>
              <w:right w:val="single" w:color="auto" w:sz="4" w:space="0"/>
            </w:tcBorders>
            <w:vAlign w:val="center"/>
          </w:tcPr>
          <w:p w14:paraId="4C7469E3">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bottom w:val="single" w:color="auto" w:sz="4" w:space="0"/>
              <w:right w:val="single" w:color="auto" w:sz="4" w:space="0"/>
            </w:tcBorders>
            <w:vAlign w:val="center"/>
          </w:tcPr>
          <w:p w14:paraId="73269804">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67C9FF6E">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工作机构获得证券监管部门或其他国家机关、全国性自律组织表彰情况。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669FA5D5">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至报名截止日期前获奖X次、评奖机构和具体奖项内容）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213FD70D">
            <w:pPr>
              <w:widowControl/>
              <w:spacing w:line="240" w:lineRule="auto"/>
              <w:jc w:val="left"/>
              <w:rPr>
                <w:rFonts w:hint="default" w:ascii="Times New Roman" w:hAnsi="Times New Roman" w:eastAsia="宋体" w:cs="Times New Roman"/>
                <w:kern w:val="0"/>
                <w:sz w:val="20"/>
                <w:szCs w:val="20"/>
                <w:highlight w:val="none"/>
              </w:rPr>
            </w:pPr>
          </w:p>
        </w:tc>
      </w:tr>
      <w:tr w14:paraId="46128696">
        <w:tblPrEx>
          <w:tblCellMar>
            <w:top w:w="0" w:type="dxa"/>
            <w:left w:w="108" w:type="dxa"/>
            <w:bottom w:w="0" w:type="dxa"/>
            <w:right w:w="108" w:type="dxa"/>
          </w:tblCellMar>
        </w:tblPrEx>
        <w:trPr>
          <w:trHeight w:val="725" w:hRule="atLeast"/>
          <w:jc w:val="center"/>
        </w:trPr>
        <w:tc>
          <w:tcPr>
            <w:tcW w:w="1229" w:type="dxa"/>
            <w:vMerge w:val="continue"/>
            <w:tcBorders>
              <w:left w:val="single" w:color="auto" w:sz="4" w:space="0"/>
              <w:right w:val="single" w:color="auto" w:sz="4" w:space="0"/>
            </w:tcBorders>
            <w:vAlign w:val="center"/>
          </w:tcPr>
          <w:p w14:paraId="30553056">
            <w:pPr>
              <w:widowControl/>
              <w:spacing w:line="240" w:lineRule="auto"/>
              <w:jc w:val="left"/>
              <w:rPr>
                <w:rFonts w:hint="default" w:ascii="Times New Roman" w:hAnsi="Times New Roman" w:eastAsia="宋体" w:cs="Times New Roman"/>
                <w:kern w:val="0"/>
                <w:sz w:val="20"/>
                <w:szCs w:val="20"/>
              </w:rPr>
            </w:pPr>
          </w:p>
        </w:tc>
        <w:tc>
          <w:tcPr>
            <w:tcW w:w="1536" w:type="dxa"/>
            <w:vMerge w:val="restart"/>
            <w:tcBorders>
              <w:top w:val="single" w:color="auto" w:sz="4" w:space="0"/>
              <w:left w:val="single" w:color="auto" w:sz="4" w:space="0"/>
              <w:right w:val="single" w:color="auto" w:sz="4" w:space="0"/>
            </w:tcBorders>
            <w:vAlign w:val="center"/>
          </w:tcPr>
          <w:p w14:paraId="7DD3C1DD">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权利保障</w:t>
            </w:r>
          </w:p>
        </w:tc>
        <w:tc>
          <w:tcPr>
            <w:tcW w:w="2935" w:type="dxa"/>
            <w:tcBorders>
              <w:top w:val="single" w:color="auto" w:sz="4" w:space="0"/>
              <w:left w:val="single" w:color="auto" w:sz="4" w:space="0"/>
              <w:bottom w:val="single" w:color="auto" w:sz="4" w:space="0"/>
              <w:right w:val="single" w:color="auto" w:sz="4" w:space="0"/>
            </w:tcBorders>
            <w:vAlign w:val="center"/>
          </w:tcPr>
          <w:p w14:paraId="21207B51">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董事会秘书的日常履职能够获得公司董事、监事、高级管理人员及其他相关人员的支持和配合</w:t>
            </w:r>
            <w:r>
              <w:rPr>
                <w:rFonts w:hint="default" w:ascii="Times New Roman" w:hAnsi="Times New Roman" w:eastAsia="宋体" w:cs="Times New Roman"/>
                <w:kern w:val="0"/>
                <w:sz w:val="20"/>
                <w:szCs w:val="20"/>
                <w:lang w:eastAsia="zh-CN"/>
              </w:rPr>
              <w:t>。</w:t>
            </w:r>
          </w:p>
        </w:tc>
        <w:tc>
          <w:tcPr>
            <w:tcW w:w="6214" w:type="dxa"/>
            <w:tcBorders>
              <w:top w:val="single" w:color="auto" w:sz="4" w:space="0"/>
              <w:left w:val="single" w:color="auto" w:sz="4" w:space="0"/>
              <w:bottom w:val="single" w:color="auto" w:sz="4" w:space="0"/>
              <w:right w:val="single" w:color="auto" w:sz="4" w:space="0"/>
            </w:tcBorders>
            <w:vAlign w:val="center"/>
          </w:tcPr>
          <w:p w14:paraId="2D0E6289">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是/否。（如填“是”，请列明报告制度名称</w:t>
            </w:r>
            <w:r>
              <w:rPr>
                <w:rFonts w:hint="default" w:ascii="Times New Roman" w:hAnsi="Times New Roman" w:eastAsia="宋体" w:cs="Times New Roman"/>
                <w:kern w:val="0"/>
                <w:sz w:val="20"/>
                <w:szCs w:val="20"/>
                <w:lang w:eastAsia="zh-CN"/>
              </w:rPr>
              <w:t>）</w:t>
            </w:r>
          </w:p>
        </w:tc>
        <w:tc>
          <w:tcPr>
            <w:tcW w:w="2932" w:type="dxa"/>
            <w:tcBorders>
              <w:top w:val="single" w:color="auto" w:sz="4" w:space="0"/>
              <w:left w:val="single" w:color="auto" w:sz="4" w:space="0"/>
              <w:bottom w:val="single" w:color="auto" w:sz="4" w:space="0"/>
              <w:right w:val="single" w:color="auto" w:sz="4" w:space="0"/>
            </w:tcBorders>
            <w:vAlign w:val="center"/>
          </w:tcPr>
          <w:p w14:paraId="5D83F509">
            <w:pPr>
              <w:widowControl/>
              <w:spacing w:line="240" w:lineRule="auto"/>
              <w:jc w:val="left"/>
              <w:rPr>
                <w:rFonts w:hint="default" w:ascii="Times New Roman" w:hAnsi="Times New Roman" w:eastAsia="宋体" w:cs="Times New Roman"/>
                <w:kern w:val="0"/>
                <w:sz w:val="20"/>
                <w:szCs w:val="20"/>
              </w:rPr>
            </w:pPr>
          </w:p>
        </w:tc>
      </w:tr>
      <w:tr w14:paraId="384F0FFC">
        <w:tblPrEx>
          <w:tblCellMar>
            <w:top w:w="0" w:type="dxa"/>
            <w:left w:w="108" w:type="dxa"/>
            <w:bottom w:w="0" w:type="dxa"/>
            <w:right w:w="108" w:type="dxa"/>
          </w:tblCellMar>
        </w:tblPrEx>
        <w:trPr>
          <w:trHeight w:val="595" w:hRule="atLeast"/>
          <w:jc w:val="center"/>
        </w:trPr>
        <w:tc>
          <w:tcPr>
            <w:tcW w:w="1229" w:type="dxa"/>
            <w:vMerge w:val="continue"/>
            <w:tcBorders>
              <w:left w:val="single" w:color="auto" w:sz="4" w:space="0"/>
              <w:right w:val="single" w:color="auto" w:sz="4" w:space="0"/>
            </w:tcBorders>
            <w:vAlign w:val="center"/>
          </w:tcPr>
          <w:p w14:paraId="63B7FD8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164C6E2D">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38F6AEA">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公司建立重大事项报告机制，以保障重大事项及时、准确、真实、完整地向公司董事会秘书报告。董事会秘书为履行职责有权了解公司的财务和经营情况，参加涉及信息披露的有关会议。</w:t>
            </w:r>
          </w:p>
        </w:tc>
        <w:tc>
          <w:tcPr>
            <w:tcW w:w="6214" w:type="dxa"/>
            <w:tcBorders>
              <w:top w:val="single" w:color="auto" w:sz="4" w:space="0"/>
              <w:left w:val="single" w:color="auto" w:sz="4" w:space="0"/>
              <w:bottom w:val="single" w:color="auto" w:sz="4" w:space="0"/>
              <w:right w:val="single" w:color="auto" w:sz="4" w:space="0"/>
            </w:tcBorders>
            <w:vAlign w:val="center"/>
          </w:tcPr>
          <w:p w14:paraId="0C273583">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是/否。（如填“是”，请列明报告制度名称</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lang w:val="en-US" w:eastAsia="zh-CN"/>
              </w:rPr>
              <w:t>并</w:t>
            </w:r>
            <w:r>
              <w:rPr>
                <w:rFonts w:hint="default" w:ascii="Times New Roman" w:hAnsi="Times New Roman" w:eastAsia="宋体" w:cs="Times New Roman"/>
                <w:kern w:val="0"/>
                <w:sz w:val="20"/>
                <w:szCs w:val="20"/>
                <w:highlight w:val="none"/>
              </w:rPr>
              <w:t>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参加会议X次及相关会议主题，不含董事会、监事会、股东大会及董事会下设委员会会议）</w:t>
            </w:r>
          </w:p>
        </w:tc>
        <w:tc>
          <w:tcPr>
            <w:tcW w:w="2932" w:type="dxa"/>
            <w:tcBorders>
              <w:top w:val="single" w:color="auto" w:sz="4" w:space="0"/>
              <w:left w:val="single" w:color="auto" w:sz="4" w:space="0"/>
              <w:bottom w:val="single" w:color="auto" w:sz="4" w:space="0"/>
              <w:right w:val="single" w:color="auto" w:sz="4" w:space="0"/>
            </w:tcBorders>
            <w:vAlign w:val="center"/>
          </w:tcPr>
          <w:p w14:paraId="4CC4C24B">
            <w:pPr>
              <w:widowControl/>
              <w:spacing w:line="240" w:lineRule="auto"/>
              <w:jc w:val="left"/>
              <w:rPr>
                <w:rFonts w:hint="default" w:ascii="Times New Roman" w:hAnsi="Times New Roman" w:eastAsia="宋体" w:cs="Times New Roman"/>
                <w:kern w:val="0"/>
                <w:sz w:val="20"/>
                <w:szCs w:val="20"/>
                <w:highlight w:val="none"/>
              </w:rPr>
            </w:pPr>
          </w:p>
        </w:tc>
      </w:tr>
      <w:tr w14:paraId="5E188E77">
        <w:tblPrEx>
          <w:tblCellMar>
            <w:top w:w="0" w:type="dxa"/>
            <w:left w:w="108" w:type="dxa"/>
            <w:bottom w:w="0" w:type="dxa"/>
            <w:right w:w="108" w:type="dxa"/>
          </w:tblCellMar>
        </w:tblPrEx>
        <w:trPr>
          <w:trHeight w:val="595" w:hRule="atLeast"/>
          <w:jc w:val="center"/>
        </w:trPr>
        <w:tc>
          <w:tcPr>
            <w:tcW w:w="1229" w:type="dxa"/>
            <w:vMerge w:val="continue"/>
            <w:tcBorders>
              <w:left w:val="single" w:color="auto" w:sz="4" w:space="0"/>
              <w:bottom w:val="single" w:color="auto" w:sz="4" w:space="0"/>
              <w:right w:val="single" w:color="auto" w:sz="4" w:space="0"/>
            </w:tcBorders>
            <w:vAlign w:val="center"/>
          </w:tcPr>
          <w:p w14:paraId="74F1579C">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left w:val="single" w:color="auto" w:sz="4" w:space="0"/>
              <w:bottom w:val="single" w:color="auto" w:sz="4" w:space="0"/>
              <w:right w:val="single" w:color="auto" w:sz="4" w:space="0"/>
            </w:tcBorders>
            <w:vAlign w:val="center"/>
          </w:tcPr>
          <w:p w14:paraId="70F80D45">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659671B9">
            <w:pPr>
              <w:widowControl/>
              <w:spacing w:line="240" w:lineRule="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上市公司控股股东、实际控制人以及董事、监事和高级管理人员应当为董事会秘书履行投资者关系管理工作职责提供便利条件。</w:t>
            </w:r>
          </w:p>
        </w:tc>
        <w:tc>
          <w:tcPr>
            <w:tcW w:w="6214" w:type="dxa"/>
            <w:tcBorders>
              <w:top w:val="single" w:color="auto" w:sz="4" w:space="0"/>
              <w:left w:val="single" w:color="auto" w:sz="4" w:space="0"/>
              <w:bottom w:val="single" w:color="auto" w:sz="4" w:space="0"/>
              <w:right w:val="single" w:color="auto" w:sz="4" w:space="0"/>
            </w:tcBorders>
            <w:vAlign w:val="center"/>
          </w:tcPr>
          <w:p w14:paraId="3C4408E9">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是/否。（如填“是”，请简要说明相关人员如何配合、支持和保障投资者关系管理工作）</w:t>
            </w:r>
          </w:p>
        </w:tc>
        <w:tc>
          <w:tcPr>
            <w:tcW w:w="2932" w:type="dxa"/>
            <w:tcBorders>
              <w:top w:val="single" w:color="auto" w:sz="4" w:space="0"/>
              <w:left w:val="single" w:color="auto" w:sz="4" w:space="0"/>
              <w:bottom w:val="single" w:color="auto" w:sz="4" w:space="0"/>
              <w:right w:val="single" w:color="auto" w:sz="4" w:space="0"/>
            </w:tcBorders>
            <w:vAlign w:val="center"/>
          </w:tcPr>
          <w:p w14:paraId="395705BE">
            <w:pPr>
              <w:widowControl/>
              <w:spacing w:line="240" w:lineRule="auto"/>
              <w:jc w:val="left"/>
              <w:rPr>
                <w:rFonts w:hint="default" w:ascii="Times New Roman" w:hAnsi="Times New Roman" w:eastAsia="宋体" w:cs="Times New Roman"/>
                <w:kern w:val="0"/>
                <w:sz w:val="20"/>
                <w:szCs w:val="20"/>
              </w:rPr>
            </w:pPr>
          </w:p>
        </w:tc>
      </w:tr>
      <w:tr w14:paraId="2D11189E">
        <w:tblPrEx>
          <w:tblCellMar>
            <w:top w:w="0" w:type="dxa"/>
            <w:left w:w="108" w:type="dxa"/>
            <w:bottom w:w="0" w:type="dxa"/>
            <w:right w:w="108" w:type="dxa"/>
          </w:tblCellMar>
        </w:tblPrEx>
        <w:trPr>
          <w:trHeight w:val="595" w:hRule="atLeast"/>
          <w:jc w:val="center"/>
        </w:trPr>
        <w:tc>
          <w:tcPr>
            <w:tcW w:w="1229" w:type="dxa"/>
            <w:vMerge w:val="restart"/>
            <w:tcBorders>
              <w:top w:val="single" w:color="auto" w:sz="4" w:space="0"/>
              <w:left w:val="single" w:color="auto" w:sz="4" w:space="0"/>
              <w:bottom w:val="single" w:color="auto" w:sz="4" w:space="0"/>
              <w:right w:val="single" w:color="auto" w:sz="4" w:space="0"/>
            </w:tcBorders>
            <w:vAlign w:val="center"/>
          </w:tcPr>
          <w:p w14:paraId="3F4AE527">
            <w:pPr>
              <w:widowControl/>
              <w:spacing w:line="240" w:lineRule="auto"/>
              <w:jc w:val="center"/>
              <w:rPr>
                <w:rFonts w:hint="default" w:ascii="Times New Roman" w:hAnsi="Times New Roman" w:eastAsia="宋体" w:cs="Times New Roman"/>
                <w:kern w:val="0"/>
                <w:sz w:val="20"/>
                <w:szCs w:val="20"/>
              </w:rPr>
            </w:pPr>
            <w:r>
              <w:rPr>
                <w:rFonts w:hint="default" w:ascii="Times New Roman" w:hAnsi="Times New Roman" w:eastAsia="黑体" w:cs="Times New Roman"/>
                <w:kern w:val="0"/>
                <w:sz w:val="20"/>
                <w:szCs w:val="20"/>
              </w:rPr>
              <w:t>二、履职内容</w:t>
            </w:r>
          </w:p>
        </w:tc>
        <w:tc>
          <w:tcPr>
            <w:tcW w:w="1536" w:type="dxa"/>
            <w:vMerge w:val="restart"/>
            <w:tcBorders>
              <w:top w:val="single" w:color="auto" w:sz="4" w:space="0"/>
              <w:left w:val="single" w:color="auto" w:sz="4" w:space="0"/>
              <w:right w:val="single" w:color="auto" w:sz="4" w:space="0"/>
            </w:tcBorders>
            <w:vAlign w:val="center"/>
          </w:tcPr>
          <w:p w14:paraId="2C843670">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highlight w:val="none"/>
              </w:rPr>
              <w:t>信息披露管理事务</w:t>
            </w:r>
          </w:p>
        </w:tc>
        <w:tc>
          <w:tcPr>
            <w:tcW w:w="2935" w:type="dxa"/>
            <w:tcBorders>
              <w:top w:val="single" w:color="auto" w:sz="4" w:space="0"/>
              <w:left w:val="single" w:color="auto" w:sz="4" w:space="0"/>
              <w:bottom w:val="single" w:color="auto" w:sz="4" w:space="0"/>
              <w:right w:val="single" w:color="auto" w:sz="4" w:space="0"/>
            </w:tcBorders>
            <w:vAlign w:val="center"/>
          </w:tcPr>
          <w:p w14:paraId="2CC4A544">
            <w:pPr>
              <w:widowControl/>
              <w:spacing w:line="240" w:lineRule="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是否按照有关规定制定适应本公司实际的信息披露事务管理制度并得到严格执行。</w:t>
            </w:r>
          </w:p>
        </w:tc>
        <w:tc>
          <w:tcPr>
            <w:tcW w:w="6214" w:type="dxa"/>
            <w:tcBorders>
              <w:top w:val="single" w:color="auto" w:sz="4" w:space="0"/>
              <w:left w:val="single" w:color="auto" w:sz="4" w:space="0"/>
              <w:bottom w:val="single" w:color="auto" w:sz="4" w:space="0"/>
              <w:right w:val="single" w:color="auto" w:sz="4" w:space="0"/>
            </w:tcBorders>
            <w:vAlign w:val="center"/>
          </w:tcPr>
          <w:p w14:paraId="2730B329">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2832E0C7">
            <w:pPr>
              <w:widowControl/>
              <w:spacing w:line="240" w:lineRule="auto"/>
              <w:jc w:val="left"/>
              <w:rPr>
                <w:rFonts w:hint="default" w:ascii="Times New Roman" w:hAnsi="Times New Roman" w:eastAsia="宋体" w:cs="Times New Roman"/>
                <w:kern w:val="0"/>
                <w:sz w:val="20"/>
                <w:szCs w:val="20"/>
              </w:rPr>
            </w:pPr>
          </w:p>
        </w:tc>
      </w:tr>
      <w:tr w14:paraId="29FA0FAA">
        <w:tblPrEx>
          <w:tblCellMar>
            <w:top w:w="0" w:type="dxa"/>
            <w:left w:w="108" w:type="dxa"/>
            <w:bottom w:w="0" w:type="dxa"/>
            <w:right w:w="108" w:type="dxa"/>
          </w:tblCellMar>
        </w:tblPrEx>
        <w:trPr>
          <w:trHeight w:val="595"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5C00A9B1">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50FB340F">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0FF90BC7">
            <w:pPr>
              <w:widowControl/>
              <w:spacing w:line="240" w:lineRule="auto"/>
              <w:rPr>
                <w:rFonts w:hint="default" w:ascii="Times New Roman" w:hAnsi="Times New Roman" w:eastAsia="宋体" w:cs="Times New Roman"/>
                <w:kern w:val="0"/>
                <w:sz w:val="20"/>
                <w:szCs w:val="20"/>
                <w:lang w:eastAsia="zh-CN"/>
              </w:rPr>
            </w:pPr>
            <w:r>
              <w:rPr>
                <w:rFonts w:hint="default" w:ascii="Times New Roman" w:hAnsi="Times New Roman" w:eastAsia="宋体" w:cs="Times New Roman"/>
                <w:kern w:val="0"/>
                <w:sz w:val="20"/>
                <w:szCs w:val="20"/>
              </w:rPr>
              <w:t>上市公司董事长作为信息披露第一责任人，是否重视、支持信息披露工作，公司董事、监事、高级管理人员及各部门、分公司、控股子公司及参股公司是否支持、配合信息披露工作，公司是否配置熟悉相关业务规则的工作人员从事信息披露工作，保障公司依法合规履行信息披露义务</w:t>
            </w:r>
            <w:r>
              <w:rPr>
                <w:rFonts w:hint="default" w:ascii="Times New Roman" w:hAnsi="Times New Roman" w:eastAsia="宋体" w:cs="Times New Roman"/>
                <w:kern w:val="0"/>
                <w:sz w:val="20"/>
                <w:szCs w:val="20"/>
                <w:lang w:eastAsia="zh-CN"/>
              </w:rPr>
              <w:t>。</w:t>
            </w:r>
          </w:p>
        </w:tc>
        <w:tc>
          <w:tcPr>
            <w:tcW w:w="6214" w:type="dxa"/>
            <w:tcBorders>
              <w:top w:val="single" w:color="auto" w:sz="4" w:space="0"/>
              <w:left w:val="single" w:color="auto" w:sz="4" w:space="0"/>
              <w:bottom w:val="single" w:color="auto" w:sz="4" w:space="0"/>
              <w:right w:val="single" w:color="auto" w:sz="4" w:space="0"/>
            </w:tcBorders>
            <w:vAlign w:val="center"/>
          </w:tcPr>
          <w:p w14:paraId="4B8F14EB">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请通过具体的事例说明相关人员如何配合、支持和保障信息披露工作，不少于200字。</w:t>
            </w:r>
          </w:p>
        </w:tc>
        <w:tc>
          <w:tcPr>
            <w:tcW w:w="2932" w:type="dxa"/>
            <w:tcBorders>
              <w:top w:val="single" w:color="auto" w:sz="4" w:space="0"/>
              <w:left w:val="single" w:color="auto" w:sz="4" w:space="0"/>
              <w:bottom w:val="single" w:color="auto" w:sz="4" w:space="0"/>
              <w:right w:val="single" w:color="auto" w:sz="4" w:space="0"/>
            </w:tcBorders>
            <w:vAlign w:val="center"/>
          </w:tcPr>
          <w:p w14:paraId="285D9BCB">
            <w:pPr>
              <w:widowControl/>
              <w:spacing w:line="240" w:lineRule="auto"/>
              <w:jc w:val="left"/>
              <w:rPr>
                <w:rFonts w:hint="default" w:ascii="Times New Roman" w:hAnsi="Times New Roman" w:eastAsia="宋体" w:cs="Times New Roman"/>
                <w:kern w:val="0"/>
                <w:sz w:val="20"/>
                <w:szCs w:val="20"/>
              </w:rPr>
            </w:pPr>
          </w:p>
        </w:tc>
      </w:tr>
      <w:tr w14:paraId="3B7C2672">
        <w:tblPrEx>
          <w:tblCellMar>
            <w:top w:w="0" w:type="dxa"/>
            <w:left w:w="108" w:type="dxa"/>
            <w:bottom w:w="0" w:type="dxa"/>
            <w:right w:w="108" w:type="dxa"/>
          </w:tblCellMar>
        </w:tblPrEx>
        <w:trPr>
          <w:trHeight w:val="323"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6C3A2EB">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071EA50">
            <w:pPr>
              <w:widowControl/>
              <w:spacing w:line="240" w:lineRule="auto"/>
              <w:jc w:val="left"/>
              <w:rPr>
                <w:rFonts w:hint="default" w:ascii="Times New Roman" w:hAnsi="Times New Roman" w:eastAsia="宋体" w:cs="Times New Roman"/>
                <w:kern w:val="0"/>
                <w:sz w:val="20"/>
                <w:szCs w:val="20"/>
                <w:highlight w:val="none"/>
              </w:rPr>
            </w:pPr>
          </w:p>
        </w:tc>
        <w:tc>
          <w:tcPr>
            <w:tcW w:w="2935" w:type="dxa"/>
            <w:vMerge w:val="restart"/>
            <w:tcBorders>
              <w:top w:val="single" w:color="auto" w:sz="4" w:space="0"/>
              <w:left w:val="single" w:color="auto" w:sz="4" w:space="0"/>
              <w:right w:val="single" w:color="auto" w:sz="4" w:space="0"/>
            </w:tcBorders>
            <w:vAlign w:val="center"/>
          </w:tcPr>
          <w:p w14:paraId="31750520">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信息披露公告数量。自愿性信息披露数量。</w:t>
            </w:r>
          </w:p>
        </w:tc>
        <w:tc>
          <w:tcPr>
            <w:tcW w:w="6214" w:type="dxa"/>
            <w:tcBorders>
              <w:top w:val="single" w:color="auto" w:sz="4" w:space="0"/>
              <w:left w:val="single" w:color="auto" w:sz="4" w:space="0"/>
              <w:bottom w:val="single" w:color="auto" w:sz="4" w:space="0"/>
              <w:right w:val="single" w:color="auto" w:sz="4" w:space="0"/>
            </w:tcBorders>
            <w:vAlign w:val="center"/>
          </w:tcPr>
          <w:p w14:paraId="51A02198">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信息披露总数X。（含带编号、不带编号公告）</w:t>
            </w:r>
          </w:p>
        </w:tc>
        <w:tc>
          <w:tcPr>
            <w:tcW w:w="2932" w:type="dxa"/>
            <w:tcBorders>
              <w:top w:val="single" w:color="auto" w:sz="4" w:space="0"/>
              <w:left w:val="single" w:color="auto" w:sz="4" w:space="0"/>
              <w:bottom w:val="single" w:color="auto" w:sz="4" w:space="0"/>
              <w:right w:val="single" w:color="auto" w:sz="4" w:space="0"/>
            </w:tcBorders>
            <w:vAlign w:val="center"/>
          </w:tcPr>
          <w:p w14:paraId="76B81780">
            <w:pPr>
              <w:widowControl/>
              <w:spacing w:line="240" w:lineRule="auto"/>
              <w:jc w:val="left"/>
              <w:rPr>
                <w:rFonts w:hint="default" w:ascii="Times New Roman" w:hAnsi="Times New Roman" w:eastAsia="宋体" w:cs="Times New Roman"/>
                <w:kern w:val="0"/>
                <w:sz w:val="20"/>
                <w:szCs w:val="20"/>
                <w:highlight w:val="none"/>
              </w:rPr>
            </w:pPr>
          </w:p>
        </w:tc>
      </w:tr>
      <w:tr w14:paraId="0D230F65">
        <w:tblPrEx>
          <w:tblCellMar>
            <w:top w:w="0" w:type="dxa"/>
            <w:left w:w="108" w:type="dxa"/>
            <w:bottom w:w="0" w:type="dxa"/>
            <w:right w:w="108" w:type="dxa"/>
          </w:tblCellMar>
        </w:tblPrEx>
        <w:trPr>
          <w:trHeight w:val="323"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68ACCE12">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1F82BED">
            <w:pPr>
              <w:widowControl/>
              <w:spacing w:line="240" w:lineRule="auto"/>
              <w:jc w:val="left"/>
              <w:rPr>
                <w:rFonts w:hint="default" w:ascii="Times New Roman" w:hAnsi="Times New Roman" w:eastAsia="宋体" w:cs="Times New Roman"/>
                <w:kern w:val="0"/>
                <w:sz w:val="20"/>
                <w:szCs w:val="20"/>
                <w:highlight w:val="none"/>
              </w:rPr>
            </w:pPr>
          </w:p>
        </w:tc>
        <w:tc>
          <w:tcPr>
            <w:tcW w:w="2935" w:type="dxa"/>
            <w:vMerge w:val="continue"/>
            <w:tcBorders>
              <w:left w:val="single" w:color="auto" w:sz="4" w:space="0"/>
              <w:bottom w:val="single" w:color="auto" w:sz="4" w:space="0"/>
              <w:right w:val="single" w:color="auto" w:sz="4" w:space="0"/>
            </w:tcBorders>
            <w:vAlign w:val="center"/>
          </w:tcPr>
          <w:p w14:paraId="5193C830">
            <w:pPr>
              <w:widowControl/>
              <w:spacing w:line="240" w:lineRule="auto"/>
              <w:jc w:val="left"/>
              <w:rPr>
                <w:rFonts w:hint="default" w:ascii="Times New Roman" w:hAnsi="Times New Roman" w:eastAsia="宋体" w:cs="Times New Roman"/>
                <w:kern w:val="0"/>
                <w:sz w:val="20"/>
                <w:szCs w:val="20"/>
                <w:highlight w:val="none"/>
              </w:rPr>
            </w:pPr>
          </w:p>
        </w:tc>
        <w:tc>
          <w:tcPr>
            <w:tcW w:w="6214" w:type="dxa"/>
            <w:tcBorders>
              <w:top w:val="single" w:color="auto" w:sz="4" w:space="0"/>
              <w:left w:val="single" w:color="auto" w:sz="4" w:space="0"/>
              <w:bottom w:val="single" w:color="auto" w:sz="4" w:space="0"/>
              <w:right w:val="single" w:color="auto" w:sz="4" w:space="0"/>
            </w:tcBorders>
            <w:vAlign w:val="center"/>
          </w:tcPr>
          <w:p w14:paraId="1053A34C">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评价期内有效合规的自愿性</w:t>
            </w:r>
            <w:r>
              <w:rPr>
                <w:rFonts w:hint="default" w:ascii="Times New Roman" w:hAnsi="Times New Roman" w:eastAsia="宋体" w:cs="Times New Roman"/>
                <w:kern w:val="0"/>
                <w:sz w:val="20"/>
                <w:szCs w:val="20"/>
                <w:highlight w:val="none"/>
              </w:rPr>
              <w:t>信息披露总数X。（含带编号、不带编号公告）</w:t>
            </w:r>
          </w:p>
          <w:p w14:paraId="0BB80EDA">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lang w:val="en-US" w:eastAsia="zh-CN"/>
              </w:rPr>
              <w:t>包含明确的警示文字、具体列明相关的风险因素、提示可能出现的不确定性和风险的自愿性信息披露公告为有效</w:t>
            </w:r>
            <w:r>
              <w:rPr>
                <w:rFonts w:hint="eastAsia" w:ascii="Times New Roman" w:hAnsi="Times New Roman" w:eastAsia="宋体" w:cs="Times New Roman"/>
                <w:kern w:val="0"/>
                <w:sz w:val="20"/>
                <w:szCs w:val="20"/>
                <w:highlight w:val="none"/>
                <w:lang w:val="en-US" w:eastAsia="zh-CN"/>
              </w:rPr>
              <w:t>合规的</w:t>
            </w:r>
            <w:r>
              <w:rPr>
                <w:rFonts w:hint="default" w:ascii="Times New Roman" w:hAnsi="Times New Roman" w:eastAsia="宋体" w:cs="Times New Roman"/>
                <w:kern w:val="0"/>
                <w:sz w:val="20"/>
                <w:szCs w:val="20"/>
                <w:highlight w:val="none"/>
                <w:lang w:val="en-US" w:eastAsia="zh-CN"/>
              </w:rPr>
              <w:t>公告。</w:t>
            </w:r>
          </w:p>
        </w:tc>
        <w:tc>
          <w:tcPr>
            <w:tcW w:w="2932" w:type="dxa"/>
            <w:tcBorders>
              <w:top w:val="single" w:color="auto" w:sz="4" w:space="0"/>
              <w:left w:val="single" w:color="auto" w:sz="4" w:space="0"/>
              <w:bottom w:val="single" w:color="auto" w:sz="4" w:space="0"/>
              <w:right w:val="single" w:color="auto" w:sz="4" w:space="0"/>
            </w:tcBorders>
            <w:vAlign w:val="center"/>
          </w:tcPr>
          <w:p w14:paraId="34CD9625">
            <w:pPr>
              <w:widowControl/>
              <w:spacing w:line="240" w:lineRule="auto"/>
              <w:jc w:val="left"/>
              <w:rPr>
                <w:rFonts w:hint="default" w:ascii="Times New Roman" w:hAnsi="Times New Roman" w:eastAsia="宋体" w:cs="Times New Roman"/>
                <w:kern w:val="0"/>
                <w:sz w:val="20"/>
                <w:szCs w:val="20"/>
                <w:highlight w:val="none"/>
                <w:lang w:val="en-US" w:eastAsia="zh-CN" w:bidi="ar-SA"/>
              </w:rPr>
            </w:pPr>
          </w:p>
        </w:tc>
      </w:tr>
      <w:tr w14:paraId="1412ED84">
        <w:tblPrEx>
          <w:tblCellMar>
            <w:top w:w="0" w:type="dxa"/>
            <w:left w:w="108" w:type="dxa"/>
            <w:bottom w:w="0" w:type="dxa"/>
            <w:right w:w="108" w:type="dxa"/>
          </w:tblCellMar>
        </w:tblPrEx>
        <w:trPr>
          <w:trHeight w:val="319"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6CEE90CE">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325C99D">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5EAC91AC">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补充、</w:t>
            </w:r>
            <w:r>
              <w:rPr>
                <w:rFonts w:hint="default" w:ascii="Times New Roman" w:hAnsi="Times New Roman" w:eastAsia="宋体" w:cs="Times New Roman"/>
                <w:kern w:val="0"/>
                <w:sz w:val="20"/>
                <w:szCs w:val="20"/>
                <w:highlight w:val="none"/>
              </w:rPr>
              <w:t>更正</w:t>
            </w:r>
            <w:r>
              <w:rPr>
                <w:rFonts w:hint="default" w:ascii="Times New Roman" w:hAnsi="Times New Roman" w:eastAsia="宋体" w:cs="Times New Roman"/>
                <w:kern w:val="0"/>
                <w:sz w:val="20"/>
                <w:szCs w:val="20"/>
                <w:highlight w:val="none"/>
                <w:lang w:val="en-US" w:eastAsia="zh-CN"/>
              </w:rPr>
              <w:t>或修订</w:t>
            </w:r>
            <w:r>
              <w:rPr>
                <w:rFonts w:hint="default" w:ascii="Times New Roman" w:hAnsi="Times New Roman" w:eastAsia="宋体" w:cs="Times New Roman"/>
                <w:kern w:val="0"/>
                <w:sz w:val="20"/>
                <w:szCs w:val="20"/>
                <w:highlight w:val="none"/>
              </w:rPr>
              <w:t>公告</w:t>
            </w:r>
            <w:r>
              <w:rPr>
                <w:rFonts w:hint="eastAsia" w:ascii="Times New Roman" w:hAnsi="Times New Roman" w:eastAsia="宋体" w:cs="Times New Roman"/>
                <w:kern w:val="0"/>
                <w:sz w:val="20"/>
                <w:szCs w:val="20"/>
                <w:highlight w:val="none"/>
                <w:lang w:val="en-US" w:eastAsia="zh-CN"/>
              </w:rPr>
              <w:t>次数。</w:t>
            </w:r>
          </w:p>
        </w:tc>
        <w:tc>
          <w:tcPr>
            <w:tcW w:w="6214" w:type="dxa"/>
            <w:tcBorders>
              <w:top w:val="single" w:color="auto" w:sz="4" w:space="0"/>
              <w:left w:val="single" w:color="auto" w:sz="4" w:space="0"/>
              <w:bottom w:val="single" w:color="auto" w:sz="4" w:space="0"/>
              <w:right w:val="single" w:color="auto" w:sz="4" w:space="0"/>
            </w:tcBorders>
            <w:vAlign w:val="center"/>
          </w:tcPr>
          <w:p w14:paraId="79B14837">
            <w:pPr>
              <w:widowControl/>
              <w:spacing w:line="240" w:lineRule="auto"/>
              <w:jc w:val="left"/>
              <w:rPr>
                <w:rFonts w:hint="default" w:ascii="Times New Roman" w:hAnsi="Times New Roman" w:eastAsia="宋体" w:cs="Times New Roman"/>
                <w:kern w:val="0"/>
                <w:sz w:val="20"/>
                <w:szCs w:val="20"/>
                <w:highlight w:val="none"/>
                <w:lang w:val="en-US" w:eastAsia="zh-CN"/>
              </w:rPr>
            </w:pPr>
            <w:r>
              <w:rPr>
                <w:rFonts w:hint="default" w:ascii="Times New Roman" w:hAnsi="Times New Roman" w:eastAsia="宋体" w:cs="Times New Roman"/>
                <w:kern w:val="0"/>
                <w:sz w:val="20"/>
                <w:szCs w:val="20"/>
                <w:highlight w:val="none"/>
                <w:lang w:val="en-US" w:eastAsia="zh-CN"/>
              </w:rPr>
              <w:t>补充、</w:t>
            </w:r>
            <w:r>
              <w:rPr>
                <w:rFonts w:hint="default" w:ascii="Times New Roman" w:hAnsi="Times New Roman" w:eastAsia="宋体" w:cs="Times New Roman"/>
                <w:kern w:val="0"/>
                <w:sz w:val="20"/>
                <w:szCs w:val="20"/>
                <w:highlight w:val="none"/>
              </w:rPr>
              <w:t>更正</w:t>
            </w:r>
            <w:r>
              <w:rPr>
                <w:rFonts w:hint="default" w:ascii="Times New Roman" w:hAnsi="Times New Roman" w:eastAsia="宋体" w:cs="Times New Roman"/>
                <w:kern w:val="0"/>
                <w:sz w:val="20"/>
                <w:szCs w:val="20"/>
                <w:highlight w:val="none"/>
                <w:lang w:val="en-US" w:eastAsia="zh-CN"/>
              </w:rPr>
              <w:t>或修订</w:t>
            </w:r>
            <w:r>
              <w:rPr>
                <w:rFonts w:hint="default" w:ascii="Times New Roman" w:hAnsi="Times New Roman" w:eastAsia="宋体" w:cs="Times New Roman"/>
                <w:kern w:val="0"/>
                <w:sz w:val="20"/>
                <w:szCs w:val="20"/>
                <w:highlight w:val="none"/>
              </w:rPr>
              <w:t>公告</w:t>
            </w:r>
            <w:r>
              <w:rPr>
                <w:rFonts w:hint="eastAsia" w:ascii="Times New Roman" w:hAnsi="Times New Roman" w:eastAsia="宋体" w:cs="Times New Roman"/>
                <w:kern w:val="0"/>
                <w:sz w:val="20"/>
                <w:szCs w:val="20"/>
                <w:highlight w:val="none"/>
                <w:lang w:val="en-US" w:eastAsia="zh-CN"/>
              </w:rPr>
              <w:t>的合计次数。</w:t>
            </w:r>
          </w:p>
        </w:tc>
        <w:tc>
          <w:tcPr>
            <w:tcW w:w="2932" w:type="dxa"/>
            <w:tcBorders>
              <w:top w:val="single" w:color="auto" w:sz="4" w:space="0"/>
              <w:left w:val="single" w:color="auto" w:sz="4" w:space="0"/>
              <w:bottom w:val="single" w:color="auto" w:sz="4" w:space="0"/>
              <w:right w:val="single" w:color="auto" w:sz="4" w:space="0"/>
            </w:tcBorders>
            <w:vAlign w:val="center"/>
          </w:tcPr>
          <w:p w14:paraId="2C992A50">
            <w:pPr>
              <w:widowControl/>
              <w:spacing w:line="240" w:lineRule="auto"/>
              <w:jc w:val="left"/>
              <w:rPr>
                <w:rFonts w:hint="default" w:ascii="Times New Roman" w:hAnsi="Times New Roman" w:eastAsia="宋体" w:cs="Times New Roman"/>
                <w:kern w:val="0"/>
                <w:sz w:val="20"/>
                <w:szCs w:val="20"/>
                <w:highlight w:val="none"/>
              </w:rPr>
            </w:pPr>
          </w:p>
        </w:tc>
      </w:tr>
      <w:tr w14:paraId="0B49E457">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E16E63A">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42AC773">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1A009B1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因信息披露违反真实、准确、完整、及时、</w:t>
            </w:r>
            <w:r>
              <w:rPr>
                <w:rFonts w:hint="eastAsia" w:ascii="Times New Roman" w:hAnsi="Times New Roman" w:eastAsia="宋体" w:cs="Times New Roman"/>
                <w:kern w:val="0"/>
                <w:sz w:val="20"/>
                <w:szCs w:val="20"/>
                <w:highlight w:val="none"/>
                <w:lang w:val="en-US" w:eastAsia="zh-CN"/>
              </w:rPr>
              <w:t>公平、合法合规性、</w:t>
            </w:r>
            <w:r>
              <w:rPr>
                <w:rFonts w:hint="default" w:ascii="Times New Roman" w:hAnsi="Times New Roman" w:eastAsia="宋体" w:cs="Times New Roman"/>
                <w:kern w:val="0"/>
                <w:sz w:val="20"/>
                <w:szCs w:val="20"/>
                <w:highlight w:val="none"/>
              </w:rPr>
              <w:t>有效性、一致性等原则被监管问询。</w:t>
            </w:r>
          </w:p>
        </w:tc>
        <w:tc>
          <w:tcPr>
            <w:tcW w:w="6214" w:type="dxa"/>
            <w:tcBorders>
              <w:top w:val="single" w:color="auto" w:sz="4" w:space="0"/>
              <w:left w:val="single" w:color="auto" w:sz="4" w:space="0"/>
              <w:bottom w:val="single" w:color="auto" w:sz="4" w:space="0"/>
              <w:right w:val="single" w:color="auto" w:sz="4" w:space="0"/>
            </w:tcBorders>
            <w:vAlign w:val="center"/>
          </w:tcPr>
          <w:p w14:paraId="04206511">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收到问询函的次数。</w:t>
            </w:r>
          </w:p>
        </w:tc>
        <w:tc>
          <w:tcPr>
            <w:tcW w:w="2932" w:type="dxa"/>
            <w:tcBorders>
              <w:top w:val="single" w:color="auto" w:sz="4" w:space="0"/>
              <w:left w:val="single" w:color="auto" w:sz="4" w:space="0"/>
              <w:bottom w:val="single" w:color="auto" w:sz="4" w:space="0"/>
              <w:right w:val="single" w:color="auto" w:sz="4" w:space="0"/>
            </w:tcBorders>
            <w:vAlign w:val="center"/>
          </w:tcPr>
          <w:p w14:paraId="44D74456">
            <w:pPr>
              <w:widowControl/>
              <w:spacing w:line="240" w:lineRule="auto"/>
              <w:jc w:val="left"/>
              <w:rPr>
                <w:rFonts w:hint="default" w:ascii="Times New Roman" w:hAnsi="Times New Roman" w:eastAsia="宋体" w:cs="Times New Roman"/>
                <w:kern w:val="0"/>
                <w:sz w:val="20"/>
                <w:szCs w:val="20"/>
                <w:highlight w:val="none"/>
              </w:rPr>
            </w:pPr>
          </w:p>
        </w:tc>
      </w:tr>
      <w:tr w14:paraId="47E2B499">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E84FDBA">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2EA39AD4">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2139B373">
            <w:pPr>
              <w:widowControl/>
              <w:spacing w:line="240" w:lineRule="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是否采用以一图读懂年报、视频音频等投资者喜闻乐见的形式强化临时公告和定期报告的宣传与解读。</w:t>
            </w:r>
          </w:p>
        </w:tc>
        <w:tc>
          <w:tcPr>
            <w:tcW w:w="6214" w:type="dxa"/>
            <w:tcBorders>
              <w:top w:val="single" w:color="auto" w:sz="4" w:space="0"/>
              <w:left w:val="single" w:color="auto" w:sz="4" w:space="0"/>
              <w:bottom w:val="single" w:color="auto" w:sz="4" w:space="0"/>
              <w:right w:val="single" w:color="auto" w:sz="4" w:space="0"/>
            </w:tcBorders>
            <w:vAlign w:val="center"/>
          </w:tcPr>
          <w:p w14:paraId="303B335A">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是/否。（如填“是”，请简要说明具体形式）</w:t>
            </w:r>
          </w:p>
        </w:tc>
        <w:tc>
          <w:tcPr>
            <w:tcW w:w="2932" w:type="dxa"/>
            <w:tcBorders>
              <w:top w:val="single" w:color="auto" w:sz="4" w:space="0"/>
              <w:left w:val="single" w:color="auto" w:sz="4" w:space="0"/>
              <w:bottom w:val="single" w:color="auto" w:sz="4" w:space="0"/>
              <w:right w:val="single" w:color="auto" w:sz="4" w:space="0"/>
            </w:tcBorders>
            <w:vAlign w:val="center"/>
          </w:tcPr>
          <w:p w14:paraId="50B39408">
            <w:pPr>
              <w:widowControl/>
              <w:spacing w:line="240" w:lineRule="auto"/>
              <w:jc w:val="left"/>
              <w:rPr>
                <w:rFonts w:hint="default" w:ascii="Times New Roman" w:hAnsi="Times New Roman" w:eastAsia="宋体" w:cs="Times New Roman"/>
                <w:kern w:val="0"/>
                <w:sz w:val="20"/>
                <w:szCs w:val="20"/>
              </w:rPr>
            </w:pPr>
          </w:p>
        </w:tc>
      </w:tr>
      <w:tr w14:paraId="1B5FDBDE">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0B152E0C">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4D8EDCA3">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36A02F3">
            <w:pPr>
              <w:widowControl/>
              <w:spacing w:line="240" w:lineRule="auto"/>
              <w:rPr>
                <w:rFonts w:hint="eastAsia" w:ascii="Times New Roman" w:hAnsi="Times New Roman" w:eastAsia="宋体" w:cs="Times New Roman"/>
                <w:kern w:val="0"/>
                <w:sz w:val="20"/>
                <w:szCs w:val="20"/>
                <w:highlight w:val="none"/>
                <w:lang w:eastAsia="zh-CN"/>
              </w:rPr>
            </w:pPr>
            <w:r>
              <w:rPr>
                <w:rFonts w:hint="default" w:ascii="Times New Roman" w:hAnsi="Times New Roman" w:eastAsia="宋体" w:cs="Times New Roman"/>
                <w:kern w:val="0"/>
                <w:sz w:val="20"/>
                <w:szCs w:val="20"/>
                <w:highlight w:val="none"/>
              </w:rPr>
              <w:t>除按照</w:t>
            </w:r>
            <w:r>
              <w:rPr>
                <w:rFonts w:hint="default" w:ascii="Times New Roman" w:hAnsi="Times New Roman" w:eastAsia="宋体" w:cs="Times New Roman"/>
                <w:kern w:val="0"/>
                <w:sz w:val="20"/>
                <w:szCs w:val="20"/>
                <w:highlight w:val="none"/>
                <w:lang w:val="en-US" w:eastAsia="zh-CN"/>
              </w:rPr>
              <w:t>交易</w:t>
            </w:r>
            <w:r>
              <w:rPr>
                <w:rFonts w:hint="default" w:ascii="Times New Roman" w:hAnsi="Times New Roman" w:eastAsia="宋体" w:cs="Times New Roman"/>
                <w:kern w:val="0"/>
                <w:sz w:val="20"/>
                <w:szCs w:val="20"/>
                <w:highlight w:val="none"/>
              </w:rPr>
              <w:t>所相关分行业信息披露指引要求以外，是否在定期报告与临时报告中主动披露公司行业及经营性信息，主动结合公司所在行业政策和市场动态，深入披露并比较分析公司的行业发展趋势、经营模式、核心竞争力、经营计划等行业及经营性信息</w:t>
            </w:r>
            <w:r>
              <w:rPr>
                <w:rFonts w:hint="eastAsia" w:ascii="Times New Roman" w:hAnsi="Times New Roman" w:eastAsia="宋体" w:cs="Times New Roman"/>
                <w:kern w:val="0"/>
                <w:sz w:val="20"/>
                <w:szCs w:val="20"/>
                <w:highlight w:val="none"/>
                <w:lang w:eastAsia="zh-CN"/>
              </w:rPr>
              <w:t>。</w:t>
            </w:r>
          </w:p>
        </w:tc>
        <w:tc>
          <w:tcPr>
            <w:tcW w:w="6214" w:type="dxa"/>
            <w:tcBorders>
              <w:top w:val="single" w:color="auto" w:sz="4" w:space="0"/>
              <w:left w:val="single" w:color="auto" w:sz="4" w:space="0"/>
              <w:bottom w:val="single" w:color="auto" w:sz="4" w:space="0"/>
              <w:right w:val="single" w:color="auto" w:sz="4" w:space="0"/>
            </w:tcBorders>
            <w:vAlign w:val="center"/>
          </w:tcPr>
          <w:p w14:paraId="1C3B7521">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是/否。（如填“是”，请简要说明具体形式</w:t>
            </w:r>
            <w:r>
              <w:rPr>
                <w:rFonts w:hint="default" w:ascii="Times New Roman" w:hAnsi="Times New Roman" w:eastAsia="宋体" w:cs="Times New Roman"/>
                <w:kern w:val="0"/>
                <w:sz w:val="20"/>
                <w:szCs w:val="20"/>
                <w:highlight w:val="none"/>
                <w:lang w:val="en-US" w:eastAsia="zh-CN"/>
              </w:rPr>
              <w:t>及临时公告编号</w:t>
            </w:r>
            <w:r>
              <w:rPr>
                <w:rFonts w:hint="default" w:ascii="Times New Roman" w:hAnsi="Times New Roman" w:eastAsia="宋体" w:cs="Times New Roman"/>
                <w:kern w:val="0"/>
                <w:sz w:val="20"/>
                <w:szCs w:val="20"/>
                <w:highlight w:val="none"/>
              </w:rPr>
              <w:t>）</w:t>
            </w:r>
          </w:p>
        </w:tc>
        <w:tc>
          <w:tcPr>
            <w:tcW w:w="2932" w:type="dxa"/>
            <w:tcBorders>
              <w:top w:val="single" w:color="auto" w:sz="4" w:space="0"/>
              <w:left w:val="single" w:color="auto" w:sz="4" w:space="0"/>
              <w:bottom w:val="single" w:color="auto" w:sz="4" w:space="0"/>
              <w:right w:val="single" w:color="auto" w:sz="4" w:space="0"/>
            </w:tcBorders>
            <w:vAlign w:val="center"/>
          </w:tcPr>
          <w:p w14:paraId="5DA2D744">
            <w:pPr>
              <w:widowControl/>
              <w:spacing w:line="240" w:lineRule="auto"/>
              <w:jc w:val="left"/>
              <w:rPr>
                <w:rFonts w:hint="default" w:ascii="Times New Roman" w:hAnsi="Times New Roman" w:eastAsia="宋体" w:cs="Times New Roman"/>
                <w:kern w:val="0"/>
                <w:sz w:val="20"/>
                <w:szCs w:val="20"/>
                <w:highlight w:val="none"/>
              </w:rPr>
            </w:pPr>
          </w:p>
        </w:tc>
      </w:tr>
      <w:tr w14:paraId="5737AB06">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586C5F1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B7EB2A7">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5102AE9">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是否按要求组织报送重大事项的内幕知情人信息。</w:t>
            </w:r>
          </w:p>
        </w:tc>
        <w:tc>
          <w:tcPr>
            <w:tcW w:w="6214" w:type="dxa"/>
            <w:tcBorders>
              <w:top w:val="single" w:color="auto" w:sz="4" w:space="0"/>
              <w:left w:val="single" w:color="auto" w:sz="4" w:space="0"/>
              <w:bottom w:val="single" w:color="auto" w:sz="4" w:space="0"/>
              <w:right w:val="single" w:color="auto" w:sz="4" w:space="0"/>
            </w:tcBorders>
            <w:vAlign w:val="center"/>
          </w:tcPr>
          <w:p w14:paraId="3A3F4DEF">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报送的相关事项）</w:t>
            </w:r>
          </w:p>
        </w:tc>
        <w:tc>
          <w:tcPr>
            <w:tcW w:w="2932" w:type="dxa"/>
            <w:tcBorders>
              <w:top w:val="single" w:color="auto" w:sz="4" w:space="0"/>
              <w:left w:val="single" w:color="auto" w:sz="4" w:space="0"/>
              <w:bottom w:val="single" w:color="auto" w:sz="4" w:space="0"/>
              <w:right w:val="single" w:color="auto" w:sz="4" w:space="0"/>
            </w:tcBorders>
            <w:vAlign w:val="center"/>
          </w:tcPr>
          <w:p w14:paraId="64233B2A">
            <w:pPr>
              <w:widowControl/>
              <w:spacing w:line="240" w:lineRule="auto"/>
              <w:jc w:val="left"/>
              <w:rPr>
                <w:rFonts w:hint="default" w:ascii="Times New Roman" w:hAnsi="Times New Roman" w:eastAsia="宋体" w:cs="Times New Roman"/>
                <w:kern w:val="0"/>
                <w:sz w:val="20"/>
                <w:szCs w:val="20"/>
                <w:highlight w:val="none"/>
              </w:rPr>
            </w:pPr>
          </w:p>
        </w:tc>
      </w:tr>
      <w:tr w14:paraId="7E875CEF">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79D5BCC">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69D00F2A">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BCB3C29">
            <w:pPr>
              <w:widowControl/>
              <w:spacing w:line="240" w:lineRule="auto"/>
              <w:jc w:val="left"/>
              <w:rPr>
                <w:rFonts w:hint="eastAsia" w:ascii="Times New Roman" w:hAnsi="Times New Roman" w:eastAsia="宋体" w:cs="Times New Roman"/>
                <w:b w:val="0"/>
                <w:bCs w:val="0"/>
                <w:color w:val="auto"/>
                <w:kern w:val="0"/>
                <w:sz w:val="20"/>
                <w:szCs w:val="20"/>
                <w:highlight w:val="none"/>
                <w:lang w:val="en-US" w:eastAsia="zh-CN"/>
              </w:rPr>
            </w:pPr>
            <w:r>
              <w:rPr>
                <w:rFonts w:hint="default" w:ascii="Times New Roman" w:hAnsi="Times New Roman" w:eastAsia="宋体" w:cs="Times New Roman"/>
                <w:kern w:val="0"/>
                <w:sz w:val="20"/>
                <w:szCs w:val="20"/>
                <w:highlight w:val="none"/>
              </w:rPr>
              <w:t>公司最近一年信息披露被证券交易所评定级</w:t>
            </w:r>
            <w:r>
              <w:rPr>
                <w:rFonts w:hint="eastAsia" w:ascii="Times New Roman" w:hAnsi="Times New Roman" w:eastAsia="宋体" w:cs="Times New Roman"/>
                <w:kern w:val="0"/>
                <w:sz w:val="20"/>
                <w:szCs w:val="20"/>
                <w:highlight w:val="none"/>
                <w:lang w:val="en-US" w:eastAsia="zh-CN"/>
              </w:rPr>
              <w:t>别</w:t>
            </w:r>
          </w:p>
        </w:tc>
        <w:tc>
          <w:tcPr>
            <w:tcW w:w="6214" w:type="dxa"/>
            <w:tcBorders>
              <w:top w:val="single" w:color="auto" w:sz="4" w:space="0"/>
              <w:left w:val="single" w:color="auto" w:sz="4" w:space="0"/>
              <w:bottom w:val="single" w:color="auto" w:sz="4" w:space="0"/>
              <w:right w:val="single" w:color="auto" w:sz="4" w:space="0"/>
            </w:tcBorders>
            <w:vAlign w:val="center"/>
          </w:tcPr>
          <w:p w14:paraId="4FA5EDEA">
            <w:pPr>
              <w:widowControl/>
              <w:spacing w:line="240" w:lineRule="auto"/>
              <w:jc w:val="left"/>
              <w:rPr>
                <w:rFonts w:hint="default" w:ascii="Times New Roman" w:hAnsi="Times New Roman" w:eastAsia="宋体" w:cs="Times New Roman"/>
                <w:b w:val="0"/>
                <w:bCs w:val="0"/>
                <w:color w:val="auto"/>
                <w:kern w:val="0"/>
                <w:sz w:val="20"/>
                <w:szCs w:val="20"/>
                <w:highlight w:val="none"/>
                <w:lang w:val="en-US" w:eastAsia="zh-CN"/>
              </w:rPr>
            </w:pPr>
            <w:r>
              <w:rPr>
                <w:rFonts w:hint="eastAsia" w:ascii="Times New Roman" w:hAnsi="Times New Roman" w:eastAsia="宋体" w:cs="Times New Roman"/>
                <w:b w:val="0"/>
                <w:bCs w:val="0"/>
                <w:color w:val="auto"/>
                <w:kern w:val="0"/>
                <w:sz w:val="20"/>
                <w:szCs w:val="20"/>
                <w:highlight w:val="none"/>
                <w:lang w:val="en-US" w:eastAsia="zh-CN"/>
              </w:rPr>
              <w:t>A/B/C/D/无</w:t>
            </w:r>
          </w:p>
        </w:tc>
        <w:tc>
          <w:tcPr>
            <w:tcW w:w="2932" w:type="dxa"/>
            <w:tcBorders>
              <w:top w:val="single" w:color="auto" w:sz="4" w:space="0"/>
              <w:left w:val="single" w:color="auto" w:sz="4" w:space="0"/>
              <w:bottom w:val="single" w:color="auto" w:sz="4" w:space="0"/>
              <w:right w:val="single" w:color="auto" w:sz="4" w:space="0"/>
            </w:tcBorders>
            <w:vAlign w:val="center"/>
          </w:tcPr>
          <w:p w14:paraId="2A6485A7">
            <w:pPr>
              <w:widowControl/>
              <w:spacing w:line="240" w:lineRule="auto"/>
              <w:jc w:val="left"/>
              <w:rPr>
                <w:rFonts w:hint="default" w:ascii="Times New Roman" w:hAnsi="Times New Roman" w:eastAsia="宋体" w:cs="Times New Roman"/>
                <w:b w:val="0"/>
                <w:bCs w:val="0"/>
                <w:color w:val="auto"/>
                <w:kern w:val="0"/>
                <w:sz w:val="20"/>
                <w:szCs w:val="20"/>
                <w:highlight w:val="none"/>
              </w:rPr>
            </w:pPr>
          </w:p>
        </w:tc>
      </w:tr>
      <w:tr w14:paraId="5CFBEC61">
        <w:tblPrEx>
          <w:tblCellMar>
            <w:top w:w="0" w:type="dxa"/>
            <w:left w:w="108" w:type="dxa"/>
            <w:bottom w:w="0" w:type="dxa"/>
            <w:right w:w="108" w:type="dxa"/>
          </w:tblCellMar>
        </w:tblPrEx>
        <w:trPr>
          <w:trHeight w:val="39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0D44BD0A">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bottom w:val="single" w:color="auto" w:sz="4" w:space="0"/>
              <w:right w:val="single" w:color="auto" w:sz="4" w:space="0"/>
            </w:tcBorders>
            <w:vAlign w:val="center"/>
          </w:tcPr>
          <w:p w14:paraId="0BEB7066">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7C9D5CCC">
            <w:pPr>
              <w:widowControl/>
              <w:spacing w:line="240" w:lineRule="auto"/>
              <w:jc w:val="left"/>
              <w:rPr>
                <w:rFonts w:hint="default" w:ascii="Times New Roman" w:hAnsi="Times New Roman" w:eastAsia="宋体" w:cs="Times New Roman"/>
                <w:kern w:val="0"/>
                <w:sz w:val="20"/>
                <w:szCs w:val="20"/>
                <w:highlight w:val="none"/>
                <w:lang w:eastAsia="zh-CN"/>
              </w:rPr>
            </w:pPr>
            <w:r>
              <w:rPr>
                <w:rFonts w:hint="eastAsia" w:ascii="Times New Roman" w:hAnsi="Times New Roman" w:eastAsia="宋体" w:cs="Times New Roman"/>
                <w:kern w:val="0"/>
                <w:sz w:val="20"/>
                <w:szCs w:val="20"/>
                <w:highlight w:val="none"/>
                <w:lang w:val="en-US" w:eastAsia="zh-CN"/>
              </w:rPr>
              <w:t>信息披露</w:t>
            </w:r>
            <w:r>
              <w:rPr>
                <w:rFonts w:hint="default" w:ascii="Times New Roman" w:hAnsi="Times New Roman" w:eastAsia="宋体" w:cs="Times New Roman"/>
                <w:kern w:val="0"/>
                <w:sz w:val="20"/>
                <w:szCs w:val="20"/>
                <w:highlight w:val="none"/>
              </w:rPr>
              <w:t>获得证券监管部门或其他国家机关、全国性自律组织表彰情况。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6E8742DC">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至报名截止日期前获奖X次、评奖机构和具体奖项内容）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26DBF014">
            <w:pPr>
              <w:widowControl/>
              <w:spacing w:line="240" w:lineRule="auto"/>
              <w:jc w:val="left"/>
              <w:rPr>
                <w:rFonts w:hint="default" w:ascii="Times New Roman" w:hAnsi="Times New Roman" w:eastAsia="宋体" w:cs="Times New Roman"/>
                <w:kern w:val="0"/>
                <w:sz w:val="20"/>
                <w:szCs w:val="20"/>
                <w:highlight w:val="none"/>
              </w:rPr>
            </w:pPr>
          </w:p>
        </w:tc>
      </w:tr>
      <w:tr w14:paraId="682FE3A3">
        <w:tblPrEx>
          <w:tblCellMar>
            <w:top w:w="0" w:type="dxa"/>
            <w:left w:w="108" w:type="dxa"/>
            <w:bottom w:w="0" w:type="dxa"/>
            <w:right w:w="108" w:type="dxa"/>
          </w:tblCellMar>
        </w:tblPrEx>
        <w:trPr>
          <w:trHeight w:val="557"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4C4CC52">
            <w:pPr>
              <w:spacing w:line="240" w:lineRule="auto"/>
              <w:rPr>
                <w:rFonts w:hint="default" w:ascii="Times New Roman" w:hAnsi="Times New Roman" w:eastAsia="宋体" w:cs="Times New Roman"/>
                <w:kern w:val="0"/>
                <w:sz w:val="20"/>
                <w:szCs w:val="20"/>
              </w:rPr>
            </w:pPr>
          </w:p>
        </w:tc>
        <w:tc>
          <w:tcPr>
            <w:tcW w:w="1536" w:type="dxa"/>
            <w:vMerge w:val="restart"/>
            <w:tcBorders>
              <w:top w:val="single" w:color="auto" w:sz="4" w:space="0"/>
              <w:left w:val="single" w:color="auto" w:sz="4" w:space="0"/>
              <w:right w:val="single" w:color="auto" w:sz="4" w:space="0"/>
            </w:tcBorders>
            <w:vAlign w:val="center"/>
          </w:tcPr>
          <w:p w14:paraId="113D4657">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公司治理机制建设</w:t>
            </w:r>
          </w:p>
        </w:tc>
        <w:tc>
          <w:tcPr>
            <w:tcW w:w="2935" w:type="dxa"/>
            <w:tcBorders>
              <w:top w:val="single" w:color="auto" w:sz="4" w:space="0"/>
              <w:left w:val="single" w:color="auto" w:sz="4" w:space="0"/>
              <w:bottom w:val="single" w:color="auto" w:sz="4" w:space="0"/>
              <w:right w:val="single" w:color="auto" w:sz="4" w:space="0"/>
            </w:tcBorders>
            <w:vAlign w:val="center"/>
          </w:tcPr>
          <w:p w14:paraId="2D028976">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是否按照有关规定制定适应本公司实际的三会运作及相关议事规则并得到严格执行。</w:t>
            </w:r>
          </w:p>
        </w:tc>
        <w:tc>
          <w:tcPr>
            <w:tcW w:w="6214" w:type="dxa"/>
            <w:tcBorders>
              <w:top w:val="single" w:color="auto" w:sz="4" w:space="0"/>
              <w:left w:val="single" w:color="auto" w:sz="4" w:space="0"/>
              <w:bottom w:val="single" w:color="auto" w:sz="4" w:space="0"/>
              <w:right w:val="single" w:color="auto" w:sz="4" w:space="0"/>
            </w:tcBorders>
            <w:vAlign w:val="center"/>
          </w:tcPr>
          <w:p w14:paraId="28AD0641">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是/否。（如填“是”，请列明三会运作及相关议事规则名称）</w:t>
            </w:r>
          </w:p>
        </w:tc>
        <w:tc>
          <w:tcPr>
            <w:tcW w:w="2932" w:type="dxa"/>
            <w:tcBorders>
              <w:top w:val="single" w:color="auto" w:sz="4" w:space="0"/>
              <w:left w:val="single" w:color="auto" w:sz="4" w:space="0"/>
              <w:bottom w:val="single" w:color="auto" w:sz="4" w:space="0"/>
              <w:right w:val="single" w:color="auto" w:sz="4" w:space="0"/>
            </w:tcBorders>
            <w:vAlign w:val="center"/>
          </w:tcPr>
          <w:p w14:paraId="2832736E">
            <w:pPr>
              <w:widowControl/>
              <w:spacing w:line="240" w:lineRule="auto"/>
              <w:jc w:val="left"/>
              <w:rPr>
                <w:rFonts w:hint="default" w:ascii="Times New Roman" w:hAnsi="Times New Roman" w:eastAsia="宋体" w:cs="Times New Roman"/>
                <w:kern w:val="0"/>
                <w:sz w:val="20"/>
                <w:szCs w:val="20"/>
              </w:rPr>
            </w:pPr>
          </w:p>
        </w:tc>
      </w:tr>
      <w:tr w14:paraId="1173D44C">
        <w:tblPrEx>
          <w:tblCellMar>
            <w:top w:w="0" w:type="dxa"/>
            <w:left w:w="108" w:type="dxa"/>
            <w:bottom w:w="0" w:type="dxa"/>
            <w:right w:w="108" w:type="dxa"/>
          </w:tblCellMar>
        </w:tblPrEx>
        <w:trPr>
          <w:trHeight w:val="557"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0A61F445">
            <w:pPr>
              <w:spacing w:line="240" w:lineRule="auto"/>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4EE4BF1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4D35F7E">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股东大会召开次数。</w:t>
            </w:r>
          </w:p>
        </w:tc>
        <w:tc>
          <w:tcPr>
            <w:tcW w:w="6214" w:type="dxa"/>
            <w:tcBorders>
              <w:top w:val="single" w:color="auto" w:sz="4" w:space="0"/>
              <w:left w:val="single" w:color="auto" w:sz="4" w:space="0"/>
              <w:bottom w:val="single" w:color="auto" w:sz="4" w:space="0"/>
              <w:right w:val="single" w:color="auto" w:sz="4" w:space="0"/>
            </w:tcBorders>
            <w:vAlign w:val="center"/>
          </w:tcPr>
          <w:p w14:paraId="6C710356">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召开总数。（含定期和临时股东大会）</w:t>
            </w:r>
          </w:p>
        </w:tc>
        <w:tc>
          <w:tcPr>
            <w:tcW w:w="2932" w:type="dxa"/>
            <w:tcBorders>
              <w:top w:val="single" w:color="auto" w:sz="4" w:space="0"/>
              <w:left w:val="single" w:color="auto" w:sz="4" w:space="0"/>
              <w:bottom w:val="single" w:color="auto" w:sz="4" w:space="0"/>
              <w:right w:val="single" w:color="auto" w:sz="4" w:space="0"/>
            </w:tcBorders>
            <w:vAlign w:val="center"/>
          </w:tcPr>
          <w:p w14:paraId="0A83B91D">
            <w:pPr>
              <w:widowControl/>
              <w:spacing w:line="240" w:lineRule="auto"/>
              <w:jc w:val="left"/>
              <w:rPr>
                <w:rFonts w:hint="default" w:ascii="Times New Roman" w:hAnsi="Times New Roman" w:eastAsia="宋体" w:cs="Times New Roman"/>
                <w:kern w:val="0"/>
                <w:sz w:val="20"/>
                <w:szCs w:val="20"/>
                <w:highlight w:val="none"/>
              </w:rPr>
            </w:pPr>
          </w:p>
        </w:tc>
      </w:tr>
      <w:tr w14:paraId="22461618">
        <w:tblPrEx>
          <w:tblCellMar>
            <w:top w:w="0" w:type="dxa"/>
            <w:left w:w="108" w:type="dxa"/>
            <w:bottom w:w="0" w:type="dxa"/>
            <w:right w:w="108" w:type="dxa"/>
          </w:tblCellMar>
        </w:tblPrEx>
        <w:trPr>
          <w:trHeight w:val="16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4AF2BC7">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68F04234">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ED11491">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存在否决议案的股东大会次数。</w:t>
            </w:r>
          </w:p>
        </w:tc>
        <w:tc>
          <w:tcPr>
            <w:tcW w:w="6214" w:type="dxa"/>
            <w:tcBorders>
              <w:top w:val="single" w:color="auto" w:sz="4" w:space="0"/>
              <w:left w:val="single" w:color="auto" w:sz="4" w:space="0"/>
              <w:bottom w:val="single" w:color="auto" w:sz="4" w:space="0"/>
              <w:right w:val="single" w:color="auto" w:sz="4" w:space="0"/>
            </w:tcBorders>
            <w:vAlign w:val="center"/>
          </w:tcPr>
          <w:p w14:paraId="3A9C71C3">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具体</w:t>
            </w:r>
            <w:r>
              <w:rPr>
                <w:rFonts w:hint="default" w:ascii="Times New Roman" w:hAnsi="Times New Roman" w:eastAsia="宋体" w:cs="Times New Roman"/>
                <w:kern w:val="0"/>
                <w:sz w:val="20"/>
                <w:szCs w:val="20"/>
                <w:highlight w:val="none"/>
              </w:rPr>
              <w:t>次数。</w:t>
            </w:r>
          </w:p>
        </w:tc>
        <w:tc>
          <w:tcPr>
            <w:tcW w:w="2932" w:type="dxa"/>
            <w:tcBorders>
              <w:top w:val="single" w:color="auto" w:sz="4" w:space="0"/>
              <w:left w:val="single" w:color="auto" w:sz="4" w:space="0"/>
              <w:bottom w:val="single" w:color="auto" w:sz="4" w:space="0"/>
              <w:right w:val="single" w:color="auto" w:sz="4" w:space="0"/>
            </w:tcBorders>
            <w:vAlign w:val="center"/>
          </w:tcPr>
          <w:p w14:paraId="213E32EC">
            <w:pPr>
              <w:widowControl/>
              <w:spacing w:line="240" w:lineRule="auto"/>
              <w:jc w:val="left"/>
              <w:rPr>
                <w:rFonts w:hint="default" w:ascii="Times New Roman" w:hAnsi="Times New Roman" w:eastAsia="宋体" w:cs="Times New Roman"/>
                <w:kern w:val="0"/>
                <w:sz w:val="20"/>
                <w:szCs w:val="20"/>
                <w:highlight w:val="none"/>
              </w:rPr>
            </w:pPr>
          </w:p>
        </w:tc>
      </w:tr>
      <w:tr w14:paraId="4722F304">
        <w:tblPrEx>
          <w:tblCellMar>
            <w:top w:w="0" w:type="dxa"/>
            <w:left w:w="108" w:type="dxa"/>
            <w:bottom w:w="0" w:type="dxa"/>
            <w:right w:w="108" w:type="dxa"/>
          </w:tblCellMar>
        </w:tblPrEx>
        <w:trPr>
          <w:trHeight w:val="16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9DAC9F5">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31B31B43">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09A577B8">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近两年</w:t>
            </w:r>
            <w:r>
              <w:rPr>
                <w:rFonts w:hint="default" w:ascii="Times New Roman" w:hAnsi="Times New Roman" w:eastAsia="宋体" w:cs="Times New Roman"/>
                <w:kern w:val="0"/>
                <w:sz w:val="20"/>
                <w:szCs w:val="20"/>
              </w:rPr>
              <w:t>涉及公司股东大会决议被申请撤销或者宣告无效的诉讼次数。</w:t>
            </w:r>
          </w:p>
        </w:tc>
        <w:tc>
          <w:tcPr>
            <w:tcW w:w="6214" w:type="dxa"/>
            <w:tcBorders>
              <w:top w:val="single" w:color="auto" w:sz="4" w:space="0"/>
              <w:left w:val="single" w:color="auto" w:sz="4" w:space="0"/>
              <w:bottom w:val="single" w:color="auto" w:sz="4" w:space="0"/>
              <w:right w:val="single" w:color="auto" w:sz="4" w:space="0"/>
            </w:tcBorders>
            <w:vAlign w:val="center"/>
          </w:tcPr>
          <w:p w14:paraId="22D1FD64">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具体</w:t>
            </w:r>
            <w:r>
              <w:rPr>
                <w:rFonts w:hint="default" w:ascii="Times New Roman" w:hAnsi="Times New Roman" w:eastAsia="宋体" w:cs="Times New Roman"/>
                <w:kern w:val="0"/>
                <w:sz w:val="20"/>
                <w:szCs w:val="20"/>
              </w:rPr>
              <w:t>次数。（多份公告涉及同一诉讼的，记为1个诉讼）</w:t>
            </w:r>
          </w:p>
        </w:tc>
        <w:tc>
          <w:tcPr>
            <w:tcW w:w="2932" w:type="dxa"/>
            <w:tcBorders>
              <w:top w:val="single" w:color="auto" w:sz="4" w:space="0"/>
              <w:left w:val="single" w:color="auto" w:sz="4" w:space="0"/>
              <w:bottom w:val="single" w:color="auto" w:sz="4" w:space="0"/>
              <w:right w:val="single" w:color="auto" w:sz="4" w:space="0"/>
            </w:tcBorders>
            <w:vAlign w:val="center"/>
          </w:tcPr>
          <w:p w14:paraId="4D50C40B">
            <w:pPr>
              <w:widowControl/>
              <w:spacing w:line="240" w:lineRule="auto"/>
              <w:jc w:val="left"/>
              <w:rPr>
                <w:rFonts w:hint="default" w:ascii="Times New Roman" w:hAnsi="Times New Roman" w:eastAsia="宋体" w:cs="Times New Roman"/>
                <w:kern w:val="0"/>
                <w:sz w:val="20"/>
                <w:szCs w:val="20"/>
              </w:rPr>
            </w:pPr>
          </w:p>
        </w:tc>
      </w:tr>
      <w:tr w14:paraId="4DFB4FE4">
        <w:tblPrEx>
          <w:tblCellMar>
            <w:top w:w="0" w:type="dxa"/>
            <w:left w:w="108" w:type="dxa"/>
            <w:bottom w:w="0" w:type="dxa"/>
            <w:right w:w="108" w:type="dxa"/>
          </w:tblCellMar>
        </w:tblPrEx>
        <w:trPr>
          <w:trHeight w:val="16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6530D01">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2F75CD7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6DF983C0">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董事会召开次数。</w:t>
            </w:r>
          </w:p>
        </w:tc>
        <w:tc>
          <w:tcPr>
            <w:tcW w:w="6214" w:type="dxa"/>
            <w:tcBorders>
              <w:top w:val="single" w:color="auto" w:sz="4" w:space="0"/>
              <w:left w:val="single" w:color="auto" w:sz="4" w:space="0"/>
              <w:bottom w:val="single" w:color="auto" w:sz="4" w:space="0"/>
              <w:right w:val="single" w:color="auto" w:sz="4" w:space="0"/>
            </w:tcBorders>
            <w:vAlign w:val="center"/>
          </w:tcPr>
          <w:p w14:paraId="3D64B9A6">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召开总数。</w:t>
            </w:r>
          </w:p>
        </w:tc>
        <w:tc>
          <w:tcPr>
            <w:tcW w:w="2932" w:type="dxa"/>
            <w:tcBorders>
              <w:top w:val="single" w:color="auto" w:sz="4" w:space="0"/>
              <w:left w:val="single" w:color="auto" w:sz="4" w:space="0"/>
              <w:bottom w:val="single" w:color="auto" w:sz="4" w:space="0"/>
              <w:right w:val="single" w:color="auto" w:sz="4" w:space="0"/>
            </w:tcBorders>
            <w:vAlign w:val="center"/>
          </w:tcPr>
          <w:p w14:paraId="59631AFF">
            <w:pPr>
              <w:widowControl/>
              <w:spacing w:line="240" w:lineRule="auto"/>
              <w:jc w:val="left"/>
              <w:rPr>
                <w:rFonts w:hint="default" w:ascii="Times New Roman" w:hAnsi="Times New Roman" w:eastAsia="宋体" w:cs="Times New Roman"/>
                <w:kern w:val="0"/>
                <w:sz w:val="20"/>
                <w:szCs w:val="20"/>
                <w:highlight w:val="none"/>
              </w:rPr>
            </w:pPr>
          </w:p>
        </w:tc>
      </w:tr>
      <w:tr w14:paraId="3092BD67">
        <w:tblPrEx>
          <w:tblCellMar>
            <w:top w:w="0" w:type="dxa"/>
            <w:left w:w="108" w:type="dxa"/>
            <w:bottom w:w="0" w:type="dxa"/>
            <w:right w:w="108" w:type="dxa"/>
          </w:tblCellMar>
        </w:tblPrEx>
        <w:trPr>
          <w:trHeight w:val="172"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A791EE7">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4CC67293">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608707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无法形成董事会决议的次数</w:t>
            </w:r>
          </w:p>
        </w:tc>
        <w:tc>
          <w:tcPr>
            <w:tcW w:w="6214" w:type="dxa"/>
            <w:tcBorders>
              <w:top w:val="single" w:color="auto" w:sz="4" w:space="0"/>
              <w:left w:val="single" w:color="auto" w:sz="4" w:space="0"/>
              <w:bottom w:val="single" w:color="auto" w:sz="4" w:space="0"/>
              <w:right w:val="single" w:color="auto" w:sz="4" w:space="0"/>
            </w:tcBorders>
            <w:vAlign w:val="center"/>
          </w:tcPr>
          <w:p w14:paraId="68F80997">
            <w:pPr>
              <w:widowControl/>
              <w:spacing w:line="240" w:lineRule="auto"/>
              <w:jc w:val="left"/>
              <w:rPr>
                <w:rFonts w:hint="eastAsia" w:ascii="Times New Roman" w:hAnsi="Times New Roman" w:eastAsia="宋体" w:cs="Times New Roman"/>
                <w:kern w:val="0"/>
                <w:sz w:val="20"/>
                <w:szCs w:val="20"/>
                <w:highlight w:val="none"/>
                <w:lang w:eastAsia="zh-CN"/>
              </w:rPr>
            </w:pPr>
            <w:r>
              <w:rPr>
                <w:rFonts w:hint="default" w:ascii="Times New Roman" w:hAnsi="Times New Roman" w:eastAsia="宋体" w:cs="Times New Roman"/>
                <w:kern w:val="0"/>
                <w:sz w:val="20"/>
                <w:szCs w:val="20"/>
                <w:highlight w:val="none"/>
              </w:rPr>
              <w:t>无法形成董事会决议的董事会次数</w:t>
            </w:r>
            <w:r>
              <w:rPr>
                <w:rFonts w:hint="eastAsia" w:ascii="Times New Roman" w:hAnsi="Times New Roman" w:eastAsia="宋体" w:cs="Times New Roman"/>
                <w:kern w:val="0"/>
                <w:sz w:val="20"/>
                <w:szCs w:val="20"/>
                <w:highlight w:val="none"/>
                <w:lang w:eastAsia="zh-CN"/>
              </w:rPr>
              <w:t>。</w:t>
            </w:r>
          </w:p>
        </w:tc>
        <w:tc>
          <w:tcPr>
            <w:tcW w:w="2932" w:type="dxa"/>
            <w:tcBorders>
              <w:top w:val="single" w:color="auto" w:sz="4" w:space="0"/>
              <w:left w:val="single" w:color="auto" w:sz="4" w:space="0"/>
              <w:bottom w:val="single" w:color="auto" w:sz="4" w:space="0"/>
              <w:right w:val="single" w:color="auto" w:sz="4" w:space="0"/>
            </w:tcBorders>
            <w:vAlign w:val="center"/>
          </w:tcPr>
          <w:p w14:paraId="374F84AA">
            <w:pPr>
              <w:widowControl/>
              <w:spacing w:line="240" w:lineRule="auto"/>
              <w:jc w:val="left"/>
              <w:rPr>
                <w:rFonts w:hint="default" w:ascii="Times New Roman" w:hAnsi="Times New Roman" w:eastAsia="宋体" w:cs="Times New Roman"/>
                <w:kern w:val="0"/>
                <w:sz w:val="20"/>
                <w:szCs w:val="20"/>
                <w:highlight w:val="none"/>
              </w:rPr>
            </w:pPr>
          </w:p>
        </w:tc>
      </w:tr>
      <w:tr w14:paraId="53C73836">
        <w:tblPrEx>
          <w:tblCellMar>
            <w:top w:w="0" w:type="dxa"/>
            <w:left w:w="108" w:type="dxa"/>
            <w:bottom w:w="0" w:type="dxa"/>
            <w:right w:w="108" w:type="dxa"/>
          </w:tblCellMar>
        </w:tblPrEx>
        <w:trPr>
          <w:trHeight w:val="172"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18FAAEC9">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76117670">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6BD2D00D">
            <w:pPr>
              <w:widowControl/>
              <w:spacing w:line="240" w:lineRule="auto"/>
              <w:jc w:val="left"/>
              <w:rPr>
                <w:rFonts w:hint="eastAsia" w:ascii="Times New Roman" w:hAnsi="Times New Roman" w:eastAsia="宋体" w:cs="Times New Roman"/>
                <w:kern w:val="0"/>
                <w:sz w:val="20"/>
                <w:szCs w:val="20"/>
                <w:lang w:eastAsia="zh-CN"/>
              </w:rPr>
            </w:pPr>
            <w:r>
              <w:rPr>
                <w:rFonts w:hint="default" w:ascii="Times New Roman" w:hAnsi="Times New Roman" w:eastAsia="宋体" w:cs="Times New Roman"/>
                <w:kern w:val="0"/>
                <w:sz w:val="20"/>
                <w:szCs w:val="20"/>
                <w:lang w:val="en-US" w:eastAsia="zh-CN"/>
              </w:rPr>
              <w:t>评价期内</w:t>
            </w:r>
            <w:r>
              <w:rPr>
                <w:rFonts w:hint="default" w:ascii="Times New Roman" w:hAnsi="Times New Roman" w:eastAsia="宋体" w:cs="Times New Roman"/>
                <w:kern w:val="0"/>
                <w:sz w:val="20"/>
                <w:szCs w:val="20"/>
              </w:rPr>
              <w:t>存在反对、弃权议案的董事会次数</w:t>
            </w:r>
            <w:r>
              <w:rPr>
                <w:rFonts w:hint="eastAsia" w:ascii="Times New Roman" w:hAnsi="Times New Roman" w:eastAsia="宋体" w:cs="Times New Roman"/>
                <w:kern w:val="0"/>
                <w:sz w:val="20"/>
                <w:szCs w:val="20"/>
                <w:lang w:eastAsia="zh-CN"/>
              </w:rPr>
              <w:t>。</w:t>
            </w:r>
          </w:p>
        </w:tc>
        <w:tc>
          <w:tcPr>
            <w:tcW w:w="6214" w:type="dxa"/>
            <w:tcBorders>
              <w:top w:val="single" w:color="auto" w:sz="4" w:space="0"/>
              <w:left w:val="single" w:color="auto" w:sz="4" w:space="0"/>
              <w:bottom w:val="single" w:color="auto" w:sz="4" w:space="0"/>
              <w:right w:val="single" w:color="auto" w:sz="4" w:space="0"/>
            </w:tcBorders>
            <w:vAlign w:val="center"/>
          </w:tcPr>
          <w:p w14:paraId="1850B0F2">
            <w:pPr>
              <w:widowControl/>
              <w:spacing w:line="240" w:lineRule="auto"/>
              <w:jc w:val="left"/>
              <w:rPr>
                <w:rFonts w:hint="eastAsia" w:ascii="Times New Roman" w:hAnsi="Times New Roman" w:eastAsia="宋体" w:cs="Times New Roman"/>
                <w:kern w:val="0"/>
                <w:sz w:val="20"/>
                <w:szCs w:val="20"/>
                <w:lang w:eastAsia="zh-CN"/>
              </w:rPr>
            </w:pPr>
            <w:r>
              <w:rPr>
                <w:rFonts w:hint="default" w:ascii="Times New Roman" w:hAnsi="Times New Roman" w:eastAsia="宋体" w:cs="Times New Roman"/>
                <w:kern w:val="0"/>
                <w:sz w:val="20"/>
                <w:szCs w:val="20"/>
              </w:rPr>
              <w:t>存在反对、弃权议案的董事会</w:t>
            </w:r>
            <w:r>
              <w:rPr>
                <w:rFonts w:hint="eastAsia" w:ascii="Times New Roman" w:hAnsi="Times New Roman" w:eastAsia="宋体" w:cs="Times New Roman"/>
                <w:kern w:val="0"/>
                <w:sz w:val="20"/>
                <w:szCs w:val="20"/>
                <w:lang w:val="en-US" w:eastAsia="zh-CN"/>
              </w:rPr>
              <w:t>次数。</w:t>
            </w:r>
          </w:p>
        </w:tc>
        <w:tc>
          <w:tcPr>
            <w:tcW w:w="2932" w:type="dxa"/>
            <w:tcBorders>
              <w:top w:val="single" w:color="auto" w:sz="4" w:space="0"/>
              <w:left w:val="single" w:color="auto" w:sz="4" w:space="0"/>
              <w:bottom w:val="single" w:color="auto" w:sz="4" w:space="0"/>
              <w:right w:val="single" w:color="auto" w:sz="4" w:space="0"/>
            </w:tcBorders>
            <w:vAlign w:val="center"/>
          </w:tcPr>
          <w:p w14:paraId="1B229AD1">
            <w:pPr>
              <w:widowControl/>
              <w:spacing w:line="240" w:lineRule="auto"/>
              <w:jc w:val="left"/>
              <w:rPr>
                <w:rFonts w:hint="default" w:ascii="Times New Roman" w:hAnsi="Times New Roman" w:eastAsia="宋体" w:cs="Times New Roman"/>
                <w:kern w:val="0"/>
                <w:sz w:val="20"/>
                <w:szCs w:val="20"/>
              </w:rPr>
            </w:pPr>
          </w:p>
        </w:tc>
      </w:tr>
      <w:tr w14:paraId="74D62FC7">
        <w:tblPrEx>
          <w:tblCellMar>
            <w:top w:w="0" w:type="dxa"/>
            <w:left w:w="108" w:type="dxa"/>
            <w:bottom w:w="0" w:type="dxa"/>
            <w:right w:w="108" w:type="dxa"/>
          </w:tblCellMar>
        </w:tblPrEx>
        <w:trPr>
          <w:trHeight w:val="172"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154E953A">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024655CF">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3EBABAD5">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近两年</w:t>
            </w:r>
            <w:r>
              <w:rPr>
                <w:rFonts w:hint="default" w:ascii="Times New Roman" w:hAnsi="Times New Roman" w:eastAsia="宋体" w:cs="Times New Roman"/>
                <w:kern w:val="0"/>
                <w:sz w:val="20"/>
                <w:szCs w:val="20"/>
              </w:rPr>
              <w:t>涉及公司董事会决议被申请撤销或者宣告无效的诉讼次数。</w:t>
            </w:r>
          </w:p>
        </w:tc>
        <w:tc>
          <w:tcPr>
            <w:tcW w:w="6214" w:type="dxa"/>
            <w:tcBorders>
              <w:top w:val="single" w:color="auto" w:sz="4" w:space="0"/>
              <w:left w:val="single" w:color="auto" w:sz="4" w:space="0"/>
              <w:bottom w:val="single" w:color="auto" w:sz="4" w:space="0"/>
              <w:right w:val="single" w:color="auto" w:sz="4" w:space="0"/>
            </w:tcBorders>
            <w:vAlign w:val="center"/>
          </w:tcPr>
          <w:p w14:paraId="27095E20">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lang w:val="en-US" w:eastAsia="zh-CN"/>
              </w:rPr>
              <w:t>具体</w:t>
            </w:r>
            <w:r>
              <w:rPr>
                <w:rFonts w:hint="default" w:ascii="Times New Roman" w:hAnsi="Times New Roman" w:eastAsia="宋体" w:cs="Times New Roman"/>
                <w:kern w:val="0"/>
                <w:sz w:val="20"/>
                <w:szCs w:val="20"/>
              </w:rPr>
              <w:t>次数。（多份公告涉及同一诉讼的，记为1个诉讼）</w:t>
            </w:r>
          </w:p>
        </w:tc>
        <w:tc>
          <w:tcPr>
            <w:tcW w:w="2932" w:type="dxa"/>
            <w:tcBorders>
              <w:top w:val="single" w:color="auto" w:sz="4" w:space="0"/>
              <w:left w:val="single" w:color="auto" w:sz="4" w:space="0"/>
              <w:bottom w:val="single" w:color="auto" w:sz="4" w:space="0"/>
              <w:right w:val="single" w:color="auto" w:sz="4" w:space="0"/>
            </w:tcBorders>
            <w:vAlign w:val="center"/>
          </w:tcPr>
          <w:p w14:paraId="4B69BF41">
            <w:pPr>
              <w:widowControl/>
              <w:spacing w:line="240" w:lineRule="auto"/>
              <w:jc w:val="left"/>
              <w:rPr>
                <w:rFonts w:hint="default" w:ascii="Times New Roman" w:hAnsi="Times New Roman" w:eastAsia="宋体" w:cs="Times New Roman"/>
                <w:kern w:val="0"/>
                <w:sz w:val="20"/>
                <w:szCs w:val="20"/>
              </w:rPr>
            </w:pPr>
          </w:p>
        </w:tc>
      </w:tr>
      <w:tr w14:paraId="3C3F67A4">
        <w:tblPrEx>
          <w:tblCellMar>
            <w:top w:w="0" w:type="dxa"/>
            <w:left w:w="108" w:type="dxa"/>
            <w:bottom w:w="0" w:type="dxa"/>
            <w:right w:w="108" w:type="dxa"/>
          </w:tblCellMar>
        </w:tblPrEx>
        <w:trPr>
          <w:trHeight w:val="28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589FB555">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9E2C2E4">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4E937065">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董事会下设委员会召开次数。</w:t>
            </w:r>
          </w:p>
        </w:tc>
        <w:tc>
          <w:tcPr>
            <w:tcW w:w="6214" w:type="dxa"/>
            <w:tcBorders>
              <w:top w:val="single" w:color="auto" w:sz="4" w:space="0"/>
              <w:left w:val="single" w:color="auto" w:sz="4" w:space="0"/>
              <w:bottom w:val="single" w:color="auto" w:sz="4" w:space="0"/>
              <w:right w:val="single" w:color="auto" w:sz="4" w:space="0"/>
            </w:tcBorders>
            <w:vAlign w:val="center"/>
          </w:tcPr>
          <w:p w14:paraId="65238BC9">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召开总数。</w:t>
            </w:r>
          </w:p>
        </w:tc>
        <w:tc>
          <w:tcPr>
            <w:tcW w:w="2932" w:type="dxa"/>
            <w:tcBorders>
              <w:top w:val="single" w:color="auto" w:sz="4" w:space="0"/>
              <w:left w:val="single" w:color="auto" w:sz="4" w:space="0"/>
              <w:bottom w:val="single" w:color="auto" w:sz="4" w:space="0"/>
              <w:right w:val="single" w:color="auto" w:sz="4" w:space="0"/>
            </w:tcBorders>
            <w:vAlign w:val="center"/>
          </w:tcPr>
          <w:p w14:paraId="04092173">
            <w:pPr>
              <w:widowControl/>
              <w:spacing w:line="240" w:lineRule="auto"/>
              <w:jc w:val="left"/>
              <w:rPr>
                <w:rFonts w:hint="default" w:ascii="Times New Roman" w:hAnsi="Times New Roman" w:eastAsia="宋体" w:cs="Times New Roman"/>
                <w:kern w:val="0"/>
                <w:sz w:val="20"/>
                <w:szCs w:val="20"/>
                <w:highlight w:val="none"/>
              </w:rPr>
            </w:pPr>
          </w:p>
        </w:tc>
      </w:tr>
      <w:tr w14:paraId="6375E685">
        <w:tblPrEx>
          <w:tblCellMar>
            <w:top w:w="0" w:type="dxa"/>
            <w:left w:w="108" w:type="dxa"/>
            <w:bottom w:w="0" w:type="dxa"/>
            <w:right w:w="108" w:type="dxa"/>
          </w:tblCellMar>
        </w:tblPrEx>
        <w:trPr>
          <w:trHeight w:val="28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1B6FB7CB">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00577F96">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1F840B4A">
            <w:pPr>
              <w:widowControl/>
              <w:spacing w:line="240" w:lineRule="auto"/>
              <w:jc w:val="left"/>
              <w:rPr>
                <w:rFonts w:hint="default" w:ascii="Times New Roman" w:hAnsi="Times New Roman" w:eastAsia="宋体" w:cs="Times New Roman"/>
                <w:kern w:val="0"/>
                <w:sz w:val="20"/>
                <w:szCs w:val="20"/>
                <w:highlight w:val="none"/>
                <w:lang w:val="en-US" w:eastAsia="zh-CN"/>
              </w:rPr>
            </w:pPr>
            <w:r>
              <w:rPr>
                <w:rFonts w:hint="eastAsia" w:ascii="Times New Roman" w:hAnsi="Times New Roman" w:eastAsia="宋体" w:cs="Times New Roman"/>
                <w:kern w:val="0"/>
                <w:sz w:val="20"/>
                <w:szCs w:val="20"/>
                <w:highlight w:val="none"/>
                <w:lang w:val="en-US" w:eastAsia="zh-CN"/>
              </w:rPr>
              <w:t>评价期内独董专门会议召开次数</w:t>
            </w:r>
          </w:p>
        </w:tc>
        <w:tc>
          <w:tcPr>
            <w:tcW w:w="6214" w:type="dxa"/>
            <w:tcBorders>
              <w:top w:val="single" w:color="auto" w:sz="4" w:space="0"/>
              <w:left w:val="single" w:color="auto" w:sz="4" w:space="0"/>
              <w:bottom w:val="single" w:color="auto" w:sz="4" w:space="0"/>
              <w:right w:val="single" w:color="auto" w:sz="4" w:space="0"/>
            </w:tcBorders>
            <w:vAlign w:val="center"/>
          </w:tcPr>
          <w:p w14:paraId="2DC08294">
            <w:pPr>
              <w:widowControl/>
              <w:spacing w:line="240" w:lineRule="auto"/>
              <w:jc w:val="left"/>
              <w:rPr>
                <w:rFonts w:hint="eastAsia" w:ascii="Times New Roman" w:hAnsi="Times New Roman" w:eastAsia="宋体" w:cs="Times New Roman"/>
                <w:kern w:val="0"/>
                <w:sz w:val="20"/>
                <w:szCs w:val="20"/>
                <w:highlight w:val="none"/>
                <w:lang w:val="en-US" w:eastAsia="zh-CN"/>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召开总数。</w:t>
            </w:r>
          </w:p>
        </w:tc>
        <w:tc>
          <w:tcPr>
            <w:tcW w:w="2932" w:type="dxa"/>
            <w:tcBorders>
              <w:top w:val="single" w:color="auto" w:sz="4" w:space="0"/>
              <w:left w:val="single" w:color="auto" w:sz="4" w:space="0"/>
              <w:bottom w:val="single" w:color="auto" w:sz="4" w:space="0"/>
              <w:right w:val="single" w:color="auto" w:sz="4" w:space="0"/>
            </w:tcBorders>
            <w:vAlign w:val="center"/>
          </w:tcPr>
          <w:p w14:paraId="1BF8E142">
            <w:pPr>
              <w:widowControl/>
              <w:spacing w:line="240" w:lineRule="auto"/>
              <w:jc w:val="left"/>
              <w:rPr>
                <w:rFonts w:hint="default" w:ascii="Times New Roman" w:hAnsi="Times New Roman" w:eastAsia="宋体" w:cs="Times New Roman"/>
                <w:kern w:val="0"/>
                <w:sz w:val="20"/>
                <w:szCs w:val="20"/>
                <w:highlight w:val="none"/>
              </w:rPr>
            </w:pPr>
          </w:p>
        </w:tc>
      </w:tr>
      <w:tr w14:paraId="5610CBE8">
        <w:tblPrEx>
          <w:tblCellMar>
            <w:top w:w="0" w:type="dxa"/>
            <w:left w:w="108" w:type="dxa"/>
            <w:bottom w:w="0" w:type="dxa"/>
            <w:right w:w="108" w:type="dxa"/>
          </w:tblCellMar>
        </w:tblPrEx>
        <w:trPr>
          <w:trHeight w:val="28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479F881">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2EC18412">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7834033F">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是否对会议议案审核把关、会议决议意见督导落实。</w:t>
            </w:r>
          </w:p>
        </w:tc>
        <w:tc>
          <w:tcPr>
            <w:tcW w:w="6214" w:type="dxa"/>
            <w:tcBorders>
              <w:top w:val="single" w:color="auto" w:sz="4" w:space="0"/>
              <w:left w:val="single" w:color="auto" w:sz="4" w:space="0"/>
              <w:bottom w:val="single" w:color="auto" w:sz="4" w:space="0"/>
              <w:right w:val="single" w:color="auto" w:sz="4" w:space="0"/>
            </w:tcBorders>
            <w:vAlign w:val="center"/>
          </w:tcPr>
          <w:p w14:paraId="0E690870">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是/否。（如填“是”，请简要说明具体方式）</w:t>
            </w:r>
          </w:p>
        </w:tc>
        <w:tc>
          <w:tcPr>
            <w:tcW w:w="2932" w:type="dxa"/>
            <w:tcBorders>
              <w:top w:val="single" w:color="auto" w:sz="4" w:space="0"/>
              <w:left w:val="single" w:color="auto" w:sz="4" w:space="0"/>
              <w:bottom w:val="single" w:color="auto" w:sz="4" w:space="0"/>
              <w:right w:val="single" w:color="auto" w:sz="4" w:space="0"/>
            </w:tcBorders>
            <w:vAlign w:val="center"/>
          </w:tcPr>
          <w:p w14:paraId="7FCDBDA2">
            <w:pPr>
              <w:widowControl/>
              <w:spacing w:line="240" w:lineRule="auto"/>
              <w:jc w:val="left"/>
              <w:rPr>
                <w:rFonts w:hint="default" w:ascii="Times New Roman" w:hAnsi="Times New Roman" w:eastAsia="宋体" w:cs="Times New Roman"/>
                <w:kern w:val="0"/>
                <w:sz w:val="20"/>
                <w:szCs w:val="20"/>
              </w:rPr>
            </w:pPr>
          </w:p>
        </w:tc>
      </w:tr>
      <w:tr w14:paraId="1FBFA25D">
        <w:tblPrEx>
          <w:tblCellMar>
            <w:top w:w="0" w:type="dxa"/>
            <w:left w:w="108" w:type="dxa"/>
            <w:bottom w:w="0" w:type="dxa"/>
            <w:right w:w="108" w:type="dxa"/>
          </w:tblCellMar>
        </w:tblPrEx>
        <w:trPr>
          <w:trHeight w:val="9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DD2AC32">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2ABF0976">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7222E405">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是否按照有关规定建立上市公司内部控制制度。</w:t>
            </w:r>
          </w:p>
        </w:tc>
        <w:tc>
          <w:tcPr>
            <w:tcW w:w="6214" w:type="dxa"/>
            <w:tcBorders>
              <w:top w:val="single" w:color="auto" w:sz="4" w:space="0"/>
              <w:left w:val="single" w:color="auto" w:sz="4" w:space="0"/>
              <w:bottom w:val="single" w:color="auto" w:sz="4" w:space="0"/>
              <w:right w:val="single" w:color="auto" w:sz="4" w:space="0"/>
            </w:tcBorders>
            <w:vAlign w:val="center"/>
          </w:tcPr>
          <w:p w14:paraId="53D822CE">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是/否。（如填“是”，请列明内部控制制度名称）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63AFB685">
            <w:pPr>
              <w:widowControl/>
              <w:spacing w:line="240" w:lineRule="auto"/>
              <w:jc w:val="left"/>
              <w:rPr>
                <w:rFonts w:hint="default" w:ascii="Times New Roman" w:hAnsi="Times New Roman" w:eastAsia="宋体" w:cs="Times New Roman"/>
                <w:kern w:val="0"/>
                <w:sz w:val="20"/>
                <w:szCs w:val="20"/>
              </w:rPr>
            </w:pPr>
          </w:p>
        </w:tc>
      </w:tr>
      <w:tr w14:paraId="7CD2D9B3">
        <w:tblPrEx>
          <w:tblCellMar>
            <w:top w:w="0" w:type="dxa"/>
            <w:left w:w="108" w:type="dxa"/>
            <w:bottom w:w="0" w:type="dxa"/>
            <w:right w:w="108" w:type="dxa"/>
          </w:tblCellMar>
        </w:tblPrEx>
        <w:trPr>
          <w:trHeight w:val="9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67C3C2F6">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508EF116">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5BBE6AA5">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是否推动上市公司避免同业竞争，减少并规范关联交易事项。</w:t>
            </w:r>
          </w:p>
        </w:tc>
        <w:tc>
          <w:tcPr>
            <w:tcW w:w="6214" w:type="dxa"/>
            <w:tcBorders>
              <w:top w:val="single" w:color="auto" w:sz="4" w:space="0"/>
              <w:left w:val="single" w:color="auto" w:sz="4" w:space="0"/>
              <w:bottom w:val="single" w:color="auto" w:sz="4" w:space="0"/>
              <w:right w:val="single" w:color="auto" w:sz="4" w:space="0"/>
            </w:tcBorders>
            <w:vAlign w:val="center"/>
          </w:tcPr>
          <w:p w14:paraId="4782786F">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是/否。（如填“是”，简要列明相关事项）</w:t>
            </w:r>
          </w:p>
        </w:tc>
        <w:tc>
          <w:tcPr>
            <w:tcW w:w="2932" w:type="dxa"/>
            <w:tcBorders>
              <w:top w:val="single" w:color="auto" w:sz="4" w:space="0"/>
              <w:left w:val="single" w:color="auto" w:sz="4" w:space="0"/>
              <w:bottom w:val="single" w:color="auto" w:sz="4" w:space="0"/>
              <w:right w:val="single" w:color="auto" w:sz="4" w:space="0"/>
            </w:tcBorders>
            <w:vAlign w:val="center"/>
          </w:tcPr>
          <w:p w14:paraId="0341B45E">
            <w:pPr>
              <w:widowControl/>
              <w:spacing w:line="240" w:lineRule="auto"/>
              <w:jc w:val="left"/>
              <w:rPr>
                <w:rFonts w:hint="default" w:ascii="Times New Roman" w:hAnsi="Times New Roman" w:eastAsia="宋体" w:cs="Times New Roman"/>
                <w:kern w:val="0"/>
                <w:sz w:val="20"/>
                <w:szCs w:val="20"/>
              </w:rPr>
            </w:pPr>
          </w:p>
        </w:tc>
      </w:tr>
      <w:tr w14:paraId="2222F657">
        <w:tblPrEx>
          <w:tblCellMar>
            <w:top w:w="0" w:type="dxa"/>
            <w:left w:w="108" w:type="dxa"/>
            <w:bottom w:w="0" w:type="dxa"/>
            <w:right w:w="108" w:type="dxa"/>
          </w:tblCellMar>
        </w:tblPrEx>
        <w:trPr>
          <w:trHeight w:val="9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EE8D1DE">
            <w:pPr>
              <w:spacing w:line="240" w:lineRule="auto"/>
              <w:jc w:val="center"/>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184639A2">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02AB494A">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是否推动上市公司建立健全激励约束机制。</w:t>
            </w:r>
          </w:p>
        </w:tc>
        <w:tc>
          <w:tcPr>
            <w:tcW w:w="6214" w:type="dxa"/>
            <w:tcBorders>
              <w:top w:val="single" w:color="auto" w:sz="4" w:space="0"/>
              <w:left w:val="single" w:color="auto" w:sz="4" w:space="0"/>
              <w:bottom w:val="single" w:color="auto" w:sz="4" w:space="0"/>
              <w:right w:val="single" w:color="auto" w:sz="4" w:space="0"/>
            </w:tcBorders>
            <w:vAlign w:val="center"/>
          </w:tcPr>
          <w:p w14:paraId="2B6BAAC3">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是/否。（如填“是”，请列明激励约束机制名称）</w:t>
            </w:r>
          </w:p>
        </w:tc>
        <w:tc>
          <w:tcPr>
            <w:tcW w:w="2932" w:type="dxa"/>
            <w:tcBorders>
              <w:top w:val="single" w:color="auto" w:sz="4" w:space="0"/>
              <w:left w:val="single" w:color="auto" w:sz="4" w:space="0"/>
              <w:bottom w:val="single" w:color="auto" w:sz="4" w:space="0"/>
              <w:right w:val="single" w:color="auto" w:sz="4" w:space="0"/>
            </w:tcBorders>
            <w:vAlign w:val="center"/>
          </w:tcPr>
          <w:p w14:paraId="3E6E5E66">
            <w:pPr>
              <w:widowControl/>
              <w:spacing w:line="240" w:lineRule="auto"/>
              <w:jc w:val="left"/>
              <w:rPr>
                <w:rFonts w:hint="default" w:ascii="Times New Roman" w:hAnsi="Times New Roman" w:eastAsia="宋体" w:cs="Times New Roman"/>
                <w:kern w:val="0"/>
                <w:sz w:val="20"/>
                <w:szCs w:val="20"/>
              </w:rPr>
            </w:pPr>
          </w:p>
        </w:tc>
      </w:tr>
      <w:tr w14:paraId="198DDE5E">
        <w:tblPrEx>
          <w:tblCellMar>
            <w:top w:w="0" w:type="dxa"/>
            <w:left w:w="108" w:type="dxa"/>
            <w:bottom w:w="0" w:type="dxa"/>
            <w:right w:w="108" w:type="dxa"/>
          </w:tblCellMar>
        </w:tblPrEx>
        <w:trPr>
          <w:trHeight w:val="9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969A0C6">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bottom w:val="single" w:color="auto" w:sz="4" w:space="0"/>
              <w:right w:val="single" w:color="auto" w:sz="4" w:space="0"/>
            </w:tcBorders>
            <w:vAlign w:val="center"/>
          </w:tcPr>
          <w:p w14:paraId="698B4FAD">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62672385">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公司治理工作获得证券监管部门或其他国家机关、全国性自律组织表彰情况。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2349C0CA">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至报名截止日期前获奖X次、评奖机构和具体奖项内容）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5E6992F0">
            <w:pPr>
              <w:widowControl/>
              <w:spacing w:line="240" w:lineRule="auto"/>
              <w:jc w:val="left"/>
              <w:rPr>
                <w:rFonts w:hint="default" w:ascii="Times New Roman" w:hAnsi="Times New Roman" w:eastAsia="宋体" w:cs="Times New Roman"/>
                <w:kern w:val="0"/>
                <w:sz w:val="20"/>
                <w:szCs w:val="20"/>
                <w:highlight w:val="none"/>
                <w:lang w:val="en-US" w:eastAsia="zh-CN" w:bidi="ar-SA"/>
              </w:rPr>
            </w:pPr>
          </w:p>
        </w:tc>
      </w:tr>
      <w:tr w14:paraId="776BF1CC">
        <w:tblPrEx>
          <w:tblCellMar>
            <w:top w:w="0" w:type="dxa"/>
            <w:left w:w="108" w:type="dxa"/>
            <w:bottom w:w="0" w:type="dxa"/>
            <w:right w:w="108" w:type="dxa"/>
          </w:tblCellMar>
        </w:tblPrEx>
        <w:trPr>
          <w:trHeight w:val="9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A3E3298">
            <w:pPr>
              <w:spacing w:line="240" w:lineRule="auto"/>
              <w:jc w:val="center"/>
              <w:rPr>
                <w:rFonts w:hint="default" w:ascii="Times New Roman" w:hAnsi="Times New Roman" w:eastAsia="宋体" w:cs="Times New Roman"/>
                <w:kern w:val="0"/>
                <w:sz w:val="20"/>
                <w:szCs w:val="20"/>
              </w:rPr>
            </w:pPr>
          </w:p>
        </w:tc>
        <w:tc>
          <w:tcPr>
            <w:tcW w:w="1536" w:type="dxa"/>
            <w:vMerge w:val="restart"/>
            <w:tcBorders>
              <w:top w:val="single" w:color="auto" w:sz="4" w:space="0"/>
              <w:left w:val="single" w:color="auto" w:sz="4" w:space="0"/>
              <w:right w:val="single" w:color="auto" w:sz="4" w:space="0"/>
            </w:tcBorders>
            <w:vAlign w:val="center"/>
          </w:tcPr>
          <w:p w14:paraId="1C035151">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投资者关系管理事务</w:t>
            </w:r>
          </w:p>
        </w:tc>
        <w:tc>
          <w:tcPr>
            <w:tcW w:w="2935" w:type="dxa"/>
            <w:tcBorders>
              <w:top w:val="single" w:color="auto" w:sz="4" w:space="0"/>
              <w:left w:val="single" w:color="auto" w:sz="4" w:space="0"/>
              <w:bottom w:val="single" w:color="auto" w:sz="4" w:space="0"/>
              <w:right w:val="single" w:color="auto" w:sz="4" w:space="0"/>
            </w:tcBorders>
            <w:vAlign w:val="center"/>
          </w:tcPr>
          <w:p w14:paraId="0B1BBAE9">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是否建立了较为完善的投资者关系管理工作制度，以及投资者关系管理档案保管和利用机制。</w:t>
            </w:r>
          </w:p>
        </w:tc>
        <w:tc>
          <w:tcPr>
            <w:tcW w:w="6214" w:type="dxa"/>
            <w:tcBorders>
              <w:top w:val="single" w:color="auto" w:sz="4" w:space="0"/>
              <w:left w:val="single" w:color="auto" w:sz="4" w:space="0"/>
              <w:bottom w:val="single" w:color="auto" w:sz="4" w:space="0"/>
              <w:right w:val="single" w:color="auto" w:sz="4" w:space="0"/>
            </w:tcBorders>
            <w:vAlign w:val="center"/>
          </w:tcPr>
          <w:p w14:paraId="4526E2E8">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34B41B9C">
            <w:pPr>
              <w:widowControl/>
              <w:spacing w:line="240" w:lineRule="auto"/>
              <w:jc w:val="left"/>
              <w:rPr>
                <w:rFonts w:hint="default" w:ascii="Times New Roman" w:hAnsi="Times New Roman" w:eastAsia="宋体" w:cs="Times New Roman"/>
                <w:kern w:val="0"/>
                <w:sz w:val="20"/>
                <w:szCs w:val="20"/>
              </w:rPr>
            </w:pPr>
          </w:p>
        </w:tc>
      </w:tr>
      <w:tr w14:paraId="1B3DB156">
        <w:tblPrEx>
          <w:tblCellMar>
            <w:top w:w="0" w:type="dxa"/>
            <w:left w:w="108" w:type="dxa"/>
            <w:bottom w:w="0" w:type="dxa"/>
            <w:right w:w="108" w:type="dxa"/>
          </w:tblCellMar>
        </w:tblPrEx>
        <w:trPr>
          <w:trHeight w:val="525"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16DC6897">
            <w:pPr>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11EE3B44">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8733047">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lang w:val="en-US" w:eastAsia="zh-CN"/>
              </w:rPr>
              <w:t>常态化召开</w:t>
            </w:r>
            <w:r>
              <w:rPr>
                <w:rFonts w:hint="default" w:ascii="Times New Roman" w:hAnsi="Times New Roman" w:eastAsia="宋体" w:cs="Times New Roman"/>
                <w:kern w:val="0"/>
                <w:sz w:val="20"/>
                <w:szCs w:val="20"/>
                <w:highlight w:val="none"/>
              </w:rPr>
              <w:t>投资者说明会（包括业绩说明会、现金分红说明会、重大事项说明会等），向投资者介绍情况、回答问题、听取意见建议。</w:t>
            </w:r>
          </w:p>
        </w:tc>
        <w:tc>
          <w:tcPr>
            <w:tcW w:w="6214" w:type="dxa"/>
            <w:tcBorders>
              <w:top w:val="single" w:color="auto" w:sz="4" w:space="0"/>
              <w:left w:val="single" w:color="auto" w:sz="4" w:space="0"/>
              <w:bottom w:val="single" w:color="auto" w:sz="4" w:space="0"/>
              <w:right w:val="single" w:color="auto" w:sz="4" w:space="0"/>
            </w:tcBorders>
            <w:vAlign w:val="center"/>
          </w:tcPr>
          <w:p w14:paraId="5BC0AA2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召开次数）</w:t>
            </w:r>
          </w:p>
        </w:tc>
        <w:tc>
          <w:tcPr>
            <w:tcW w:w="2932" w:type="dxa"/>
            <w:tcBorders>
              <w:top w:val="single" w:color="auto" w:sz="4" w:space="0"/>
              <w:left w:val="single" w:color="auto" w:sz="4" w:space="0"/>
              <w:bottom w:val="single" w:color="auto" w:sz="4" w:space="0"/>
              <w:right w:val="single" w:color="auto" w:sz="4" w:space="0"/>
            </w:tcBorders>
            <w:vAlign w:val="center"/>
          </w:tcPr>
          <w:p w14:paraId="1AEF2CDA">
            <w:pPr>
              <w:widowControl/>
              <w:spacing w:line="240" w:lineRule="auto"/>
              <w:jc w:val="left"/>
              <w:rPr>
                <w:rFonts w:hint="default" w:ascii="Times New Roman" w:hAnsi="Times New Roman" w:eastAsia="宋体" w:cs="Times New Roman"/>
                <w:kern w:val="0"/>
                <w:sz w:val="20"/>
                <w:szCs w:val="20"/>
                <w:highlight w:val="none"/>
              </w:rPr>
            </w:pPr>
          </w:p>
        </w:tc>
      </w:tr>
      <w:tr w14:paraId="275658A0">
        <w:tblPrEx>
          <w:tblCellMar>
            <w:top w:w="0" w:type="dxa"/>
            <w:left w:w="108" w:type="dxa"/>
            <w:bottom w:w="0" w:type="dxa"/>
            <w:right w:w="108" w:type="dxa"/>
          </w:tblCellMar>
        </w:tblPrEx>
        <w:trPr>
          <w:trHeight w:val="34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1FA8902">
            <w:pPr>
              <w:widowControl/>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172456AE">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48F741E1">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在</w:t>
            </w:r>
            <w:r>
              <w:rPr>
                <w:rFonts w:hint="eastAsia" w:ascii="Times New Roman" w:hAnsi="Times New Roman" w:eastAsia="宋体" w:cs="Times New Roman"/>
                <w:kern w:val="0"/>
                <w:sz w:val="20"/>
                <w:szCs w:val="20"/>
                <w:highlight w:val="none"/>
                <w:lang w:val="en-US" w:eastAsia="zh-CN"/>
              </w:rPr>
              <w:t>定期</w:t>
            </w:r>
            <w:r>
              <w:rPr>
                <w:rFonts w:hint="default" w:ascii="Times New Roman" w:hAnsi="Times New Roman" w:eastAsia="宋体" w:cs="Times New Roman"/>
                <w:kern w:val="0"/>
                <w:sz w:val="20"/>
                <w:szCs w:val="20"/>
                <w:highlight w:val="none"/>
              </w:rPr>
              <w:t>报告披露后，是否及时召开业绩说明会，董事长或总经理</w:t>
            </w:r>
            <w:r>
              <w:rPr>
                <w:rFonts w:hint="default" w:ascii="Times New Roman" w:hAnsi="Times New Roman" w:eastAsia="宋体" w:cs="Times New Roman"/>
                <w:kern w:val="0"/>
                <w:sz w:val="20"/>
                <w:szCs w:val="20"/>
                <w:highlight w:val="none"/>
                <w:lang w:val="en-US" w:eastAsia="zh-CN"/>
              </w:rPr>
              <w:t>是否</w:t>
            </w:r>
            <w:r>
              <w:rPr>
                <w:rFonts w:hint="default" w:ascii="Times New Roman" w:hAnsi="Times New Roman" w:eastAsia="宋体" w:cs="Times New Roman"/>
                <w:kern w:val="0"/>
                <w:sz w:val="20"/>
                <w:szCs w:val="20"/>
                <w:highlight w:val="none"/>
              </w:rPr>
              <w:t>亲自出席，与投资者充分交流。</w:t>
            </w:r>
          </w:p>
        </w:tc>
        <w:tc>
          <w:tcPr>
            <w:tcW w:w="6214" w:type="dxa"/>
            <w:tcBorders>
              <w:top w:val="single" w:color="auto" w:sz="4" w:space="0"/>
              <w:left w:val="single" w:color="auto" w:sz="4" w:space="0"/>
              <w:bottom w:val="single" w:color="auto" w:sz="4" w:space="0"/>
              <w:right w:val="single" w:color="auto" w:sz="4" w:space="0"/>
            </w:tcBorders>
            <w:vAlign w:val="center"/>
          </w:tcPr>
          <w:p w14:paraId="17769865">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业绩说明会的召开时间</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lang w:val="en-US" w:eastAsia="zh-CN"/>
              </w:rPr>
              <w:t>并列明出席人员的职位</w:t>
            </w:r>
            <w:r>
              <w:rPr>
                <w:rFonts w:hint="default" w:ascii="Times New Roman" w:hAnsi="Times New Roman" w:eastAsia="宋体" w:cs="Times New Roman"/>
                <w:kern w:val="0"/>
                <w:sz w:val="20"/>
                <w:szCs w:val="20"/>
                <w:highlight w:val="none"/>
              </w:rPr>
              <w:t>）</w:t>
            </w:r>
          </w:p>
        </w:tc>
        <w:tc>
          <w:tcPr>
            <w:tcW w:w="2932" w:type="dxa"/>
            <w:tcBorders>
              <w:top w:val="single" w:color="auto" w:sz="4" w:space="0"/>
              <w:left w:val="single" w:color="auto" w:sz="4" w:space="0"/>
              <w:bottom w:val="single" w:color="auto" w:sz="4" w:space="0"/>
              <w:right w:val="single" w:color="auto" w:sz="4" w:space="0"/>
            </w:tcBorders>
            <w:vAlign w:val="center"/>
          </w:tcPr>
          <w:p w14:paraId="56ABEAA1">
            <w:pPr>
              <w:widowControl/>
              <w:spacing w:line="240" w:lineRule="auto"/>
              <w:jc w:val="left"/>
              <w:rPr>
                <w:rFonts w:hint="default" w:ascii="Times New Roman" w:hAnsi="Times New Roman" w:eastAsia="宋体" w:cs="Times New Roman"/>
                <w:kern w:val="0"/>
                <w:sz w:val="20"/>
                <w:szCs w:val="20"/>
                <w:highlight w:val="none"/>
                <w:lang w:val="en-US" w:eastAsia="zh-CN"/>
              </w:rPr>
            </w:pPr>
          </w:p>
        </w:tc>
      </w:tr>
      <w:tr w14:paraId="1B9F79BF">
        <w:tblPrEx>
          <w:tblCellMar>
            <w:top w:w="0" w:type="dxa"/>
            <w:left w:w="108" w:type="dxa"/>
            <w:bottom w:w="0" w:type="dxa"/>
            <w:right w:w="108" w:type="dxa"/>
          </w:tblCellMar>
        </w:tblPrEx>
        <w:trPr>
          <w:trHeight w:val="341"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64A7A4E3">
            <w:pPr>
              <w:widowControl/>
              <w:spacing w:line="240" w:lineRule="auto"/>
              <w:jc w:val="center"/>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4726E7CD">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25372F56">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是否通过热线电话、</w:t>
            </w:r>
            <w:r>
              <w:rPr>
                <w:rFonts w:hint="eastAsia" w:ascii="Times New Roman" w:hAnsi="Times New Roman" w:eastAsia="宋体" w:cs="Times New Roman"/>
                <w:kern w:val="0"/>
                <w:sz w:val="20"/>
                <w:szCs w:val="20"/>
                <w:highlight w:val="none"/>
                <w:lang w:val="en-US" w:eastAsia="zh-CN"/>
              </w:rPr>
              <w:t>电子邮箱、</w:t>
            </w:r>
            <w:r>
              <w:rPr>
                <w:rFonts w:hint="default" w:ascii="Times New Roman" w:hAnsi="Times New Roman" w:eastAsia="宋体" w:cs="Times New Roman"/>
                <w:kern w:val="0"/>
                <w:sz w:val="20"/>
                <w:szCs w:val="20"/>
                <w:highlight w:val="none"/>
              </w:rPr>
              <w:t>“上证e互动”/“互动易”等及时有效地回答投资者问题。</w:t>
            </w:r>
          </w:p>
        </w:tc>
        <w:tc>
          <w:tcPr>
            <w:tcW w:w="6214" w:type="dxa"/>
            <w:tcBorders>
              <w:top w:val="single" w:color="auto" w:sz="4" w:space="0"/>
              <w:left w:val="single" w:color="auto" w:sz="4" w:space="0"/>
              <w:bottom w:val="single" w:color="auto" w:sz="4" w:space="0"/>
              <w:right w:val="single" w:color="auto" w:sz="4" w:space="0"/>
            </w:tcBorders>
            <w:vAlign w:val="center"/>
          </w:tcPr>
          <w:p w14:paraId="4BD4D731">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回复次数）</w:t>
            </w:r>
          </w:p>
        </w:tc>
        <w:tc>
          <w:tcPr>
            <w:tcW w:w="2932" w:type="dxa"/>
            <w:tcBorders>
              <w:top w:val="single" w:color="auto" w:sz="4" w:space="0"/>
              <w:left w:val="single" w:color="auto" w:sz="4" w:space="0"/>
              <w:bottom w:val="single" w:color="auto" w:sz="4" w:space="0"/>
              <w:right w:val="single" w:color="auto" w:sz="4" w:space="0"/>
            </w:tcBorders>
            <w:vAlign w:val="center"/>
          </w:tcPr>
          <w:p w14:paraId="274DB8D9">
            <w:pPr>
              <w:widowControl/>
              <w:spacing w:line="240" w:lineRule="auto"/>
              <w:jc w:val="left"/>
              <w:rPr>
                <w:rFonts w:hint="default" w:ascii="Times New Roman" w:hAnsi="Times New Roman" w:eastAsia="宋体" w:cs="Times New Roman"/>
                <w:kern w:val="0"/>
                <w:sz w:val="20"/>
                <w:szCs w:val="20"/>
                <w:highlight w:val="none"/>
              </w:rPr>
            </w:pPr>
          </w:p>
        </w:tc>
      </w:tr>
      <w:tr w14:paraId="2E6CF586">
        <w:tblPrEx>
          <w:tblCellMar>
            <w:top w:w="0" w:type="dxa"/>
            <w:left w:w="108" w:type="dxa"/>
            <w:bottom w:w="0" w:type="dxa"/>
            <w:right w:w="108" w:type="dxa"/>
          </w:tblCellMar>
        </w:tblPrEx>
        <w:trPr>
          <w:trHeight w:val="367"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FCF34B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1E5670D5">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59B63901">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接待特定投资者</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rPr>
              <w:t>含机构投资者）的次数、交流情况。</w:t>
            </w:r>
          </w:p>
        </w:tc>
        <w:tc>
          <w:tcPr>
            <w:tcW w:w="6214" w:type="dxa"/>
            <w:tcBorders>
              <w:top w:val="single" w:color="auto" w:sz="4" w:space="0"/>
              <w:left w:val="single" w:color="auto" w:sz="4" w:space="0"/>
              <w:bottom w:val="single" w:color="auto" w:sz="4" w:space="0"/>
              <w:right w:val="single" w:color="auto" w:sz="4" w:space="0"/>
            </w:tcBorders>
            <w:vAlign w:val="center"/>
          </w:tcPr>
          <w:p w14:paraId="2F4FB880">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的接待次数，并列明交流的主题和简要内容。</w:t>
            </w:r>
          </w:p>
        </w:tc>
        <w:tc>
          <w:tcPr>
            <w:tcW w:w="2932" w:type="dxa"/>
            <w:tcBorders>
              <w:top w:val="single" w:color="auto" w:sz="4" w:space="0"/>
              <w:left w:val="single" w:color="auto" w:sz="4" w:space="0"/>
              <w:bottom w:val="single" w:color="auto" w:sz="4" w:space="0"/>
              <w:right w:val="single" w:color="auto" w:sz="4" w:space="0"/>
            </w:tcBorders>
            <w:vAlign w:val="center"/>
          </w:tcPr>
          <w:p w14:paraId="2E307090">
            <w:pPr>
              <w:widowControl/>
              <w:spacing w:line="240" w:lineRule="auto"/>
              <w:jc w:val="left"/>
              <w:rPr>
                <w:rFonts w:hint="default" w:ascii="Times New Roman" w:hAnsi="Times New Roman" w:eastAsia="宋体" w:cs="Times New Roman"/>
                <w:kern w:val="0"/>
                <w:sz w:val="20"/>
                <w:szCs w:val="20"/>
                <w:highlight w:val="none"/>
              </w:rPr>
            </w:pPr>
          </w:p>
        </w:tc>
      </w:tr>
      <w:tr w14:paraId="0498A692">
        <w:tblPrEx>
          <w:tblCellMar>
            <w:top w:w="0" w:type="dxa"/>
            <w:left w:w="108" w:type="dxa"/>
            <w:bottom w:w="0" w:type="dxa"/>
            <w:right w:w="108" w:type="dxa"/>
          </w:tblCellMar>
        </w:tblPrEx>
        <w:trPr>
          <w:trHeight w:val="367"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00F22D57">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48A98B58">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6DBEBBD">
            <w:pPr>
              <w:widowControl/>
              <w:spacing w:line="240" w:lineRule="auto"/>
              <w:jc w:val="left"/>
              <w:rPr>
                <w:rFonts w:hint="default" w:ascii="Times New Roman" w:hAnsi="Times New Roman" w:eastAsia="宋体" w:cs="Times New Roman"/>
                <w:kern w:val="0"/>
                <w:sz w:val="20"/>
                <w:szCs w:val="20"/>
                <w:highlight w:val="none"/>
                <w:lang w:eastAsia="zh-CN"/>
              </w:rPr>
            </w:pPr>
            <w:r>
              <w:rPr>
                <w:rFonts w:hint="default" w:ascii="Times New Roman" w:hAnsi="Times New Roman" w:eastAsia="宋体" w:cs="Times New Roman"/>
                <w:kern w:val="0"/>
                <w:sz w:val="20"/>
                <w:szCs w:val="20"/>
                <w:highlight w:val="none"/>
                <w:lang w:val="en-US" w:eastAsia="zh-CN"/>
              </w:rPr>
              <w:t>上交所上市公司</w:t>
            </w:r>
            <w:r>
              <w:rPr>
                <w:rFonts w:hint="default" w:ascii="Times New Roman" w:hAnsi="Times New Roman" w:eastAsia="宋体" w:cs="Times New Roman"/>
                <w:kern w:val="0"/>
                <w:sz w:val="20"/>
                <w:szCs w:val="20"/>
                <w:highlight w:val="none"/>
              </w:rPr>
              <w:t>是否按规定在投资者关系管理活动结束后及时向</w:t>
            </w:r>
            <w:r>
              <w:rPr>
                <w:rFonts w:hint="eastAsia" w:ascii="Times New Roman" w:hAnsi="Times New Roman" w:eastAsia="宋体" w:cs="Times New Roman"/>
                <w:kern w:val="0"/>
                <w:sz w:val="20"/>
                <w:szCs w:val="20"/>
                <w:highlight w:val="none"/>
                <w:lang w:val="en-US" w:eastAsia="zh-CN"/>
              </w:rPr>
              <w:t>上交</w:t>
            </w:r>
            <w:r>
              <w:rPr>
                <w:rFonts w:hint="default" w:ascii="Times New Roman" w:hAnsi="Times New Roman" w:eastAsia="宋体" w:cs="Times New Roman"/>
                <w:kern w:val="0"/>
                <w:sz w:val="20"/>
                <w:szCs w:val="20"/>
                <w:highlight w:val="none"/>
              </w:rPr>
              <w:t>所报备，定期通过上证e互动平台“上市公司发布”栏目汇总发布投资者关系活动记录</w:t>
            </w:r>
            <w:r>
              <w:rPr>
                <w:rFonts w:hint="default" w:ascii="Times New Roman" w:hAnsi="Times New Roman" w:eastAsia="宋体" w:cs="Times New Roman"/>
                <w:kern w:val="0"/>
                <w:sz w:val="20"/>
                <w:szCs w:val="20"/>
                <w:highlight w:val="none"/>
                <w:lang w:eastAsia="zh-CN"/>
              </w:rPr>
              <w:t>。</w:t>
            </w:r>
          </w:p>
          <w:p w14:paraId="7182A025">
            <w:pPr>
              <w:widowControl/>
              <w:spacing w:line="240" w:lineRule="auto"/>
              <w:jc w:val="left"/>
              <w:rPr>
                <w:rFonts w:hint="eastAsia" w:ascii="Times New Roman" w:hAnsi="Times New Roman" w:eastAsia="宋体" w:cs="Times New Roman"/>
                <w:kern w:val="0"/>
                <w:sz w:val="20"/>
                <w:szCs w:val="20"/>
                <w:highlight w:val="none"/>
                <w:lang w:val="en-US" w:eastAsia="zh-CN"/>
              </w:rPr>
            </w:pPr>
            <w:r>
              <w:rPr>
                <w:rFonts w:hint="default" w:ascii="Times New Roman" w:hAnsi="Times New Roman" w:eastAsia="宋体" w:cs="Times New Roman"/>
                <w:kern w:val="0"/>
                <w:sz w:val="20"/>
                <w:szCs w:val="20"/>
                <w:highlight w:val="none"/>
                <w:lang w:val="en-US" w:eastAsia="zh-CN"/>
              </w:rPr>
              <w:t>深交所上市公司是否在投资者关系活动结束后及时通过</w:t>
            </w:r>
            <w:r>
              <w:rPr>
                <w:rFonts w:hint="eastAsia" w:ascii="Times New Roman" w:hAnsi="Times New Roman" w:eastAsia="宋体" w:cs="Times New Roman"/>
                <w:kern w:val="0"/>
                <w:sz w:val="20"/>
                <w:szCs w:val="20"/>
                <w:highlight w:val="none"/>
                <w:lang w:val="en-US" w:eastAsia="zh-CN"/>
              </w:rPr>
              <w:t>深交</w:t>
            </w:r>
            <w:r>
              <w:rPr>
                <w:rFonts w:hint="default" w:ascii="Times New Roman" w:hAnsi="Times New Roman" w:eastAsia="宋体" w:cs="Times New Roman"/>
                <w:kern w:val="0"/>
                <w:sz w:val="20"/>
                <w:szCs w:val="20"/>
                <w:highlight w:val="none"/>
                <w:lang w:val="en-US" w:eastAsia="zh-CN"/>
              </w:rPr>
              <w:t>所投资者关系互动平台披露《投资者关系活动记录表》和相关附件</w:t>
            </w:r>
            <w:r>
              <w:rPr>
                <w:rFonts w:hint="eastAsia" w:ascii="Times New Roman" w:hAnsi="Times New Roman" w:eastAsia="宋体" w:cs="Times New Roman"/>
                <w:kern w:val="0"/>
                <w:sz w:val="20"/>
                <w:szCs w:val="20"/>
                <w:highlight w:val="none"/>
                <w:lang w:val="en-US" w:eastAsia="zh-CN"/>
              </w:rPr>
              <w:t>。</w:t>
            </w:r>
          </w:p>
          <w:p w14:paraId="2B3F0940">
            <w:pPr>
              <w:widowControl/>
              <w:spacing w:line="240" w:lineRule="auto"/>
              <w:jc w:val="left"/>
              <w:rPr>
                <w:rFonts w:hint="default" w:ascii="Times New Roman" w:hAnsi="Times New Roman" w:eastAsia="宋体" w:cs="Times New Roman"/>
                <w:kern w:val="0"/>
                <w:sz w:val="20"/>
                <w:szCs w:val="20"/>
                <w:highlight w:val="none"/>
                <w:lang w:val="en-US" w:eastAsia="zh-CN"/>
              </w:rPr>
            </w:pPr>
            <w:r>
              <w:rPr>
                <w:rFonts w:hint="default" w:ascii="Times New Roman" w:hAnsi="Times New Roman" w:eastAsia="宋体" w:cs="Times New Roman"/>
                <w:kern w:val="0"/>
                <w:sz w:val="20"/>
                <w:szCs w:val="20"/>
                <w:highlight w:val="none"/>
                <w:lang w:val="en-US" w:eastAsia="zh-CN"/>
              </w:rPr>
              <w:t>北交所上市公司开展投资者关系活动结束后，投资者关系活动记录应当及时披露或以北交所规定的其他方式公开</w:t>
            </w:r>
            <w:r>
              <w:rPr>
                <w:rFonts w:hint="eastAsia" w:ascii="Times New Roman" w:hAnsi="Times New Roman" w:eastAsia="宋体" w:cs="Times New Roman"/>
                <w:kern w:val="0"/>
                <w:sz w:val="20"/>
                <w:szCs w:val="20"/>
                <w:highlight w:val="none"/>
                <w:lang w:val="en-US" w:eastAsia="zh-CN"/>
              </w:rPr>
              <w:t>。</w:t>
            </w:r>
          </w:p>
        </w:tc>
        <w:tc>
          <w:tcPr>
            <w:tcW w:w="6214" w:type="dxa"/>
            <w:tcBorders>
              <w:top w:val="single" w:color="auto" w:sz="4" w:space="0"/>
              <w:left w:val="single" w:color="auto" w:sz="4" w:space="0"/>
              <w:bottom w:val="single" w:color="auto" w:sz="4" w:space="0"/>
              <w:right w:val="single" w:color="auto" w:sz="4" w:space="0"/>
            </w:tcBorders>
            <w:vAlign w:val="center"/>
          </w:tcPr>
          <w:p w14:paraId="3A9DC7C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lang w:val="en-US" w:eastAsia="zh-CN"/>
              </w:rPr>
              <w:t>发布</w:t>
            </w:r>
            <w:r>
              <w:rPr>
                <w:rFonts w:hint="default" w:ascii="Times New Roman" w:hAnsi="Times New Roman" w:eastAsia="宋体" w:cs="Times New Roman"/>
                <w:kern w:val="0"/>
                <w:sz w:val="20"/>
                <w:szCs w:val="20"/>
                <w:highlight w:val="none"/>
              </w:rPr>
              <w:t>次数）</w:t>
            </w:r>
          </w:p>
        </w:tc>
        <w:tc>
          <w:tcPr>
            <w:tcW w:w="2932" w:type="dxa"/>
            <w:tcBorders>
              <w:top w:val="single" w:color="auto" w:sz="4" w:space="0"/>
              <w:left w:val="single" w:color="auto" w:sz="4" w:space="0"/>
              <w:bottom w:val="single" w:color="auto" w:sz="4" w:space="0"/>
              <w:right w:val="single" w:color="auto" w:sz="4" w:space="0"/>
            </w:tcBorders>
            <w:vAlign w:val="center"/>
          </w:tcPr>
          <w:p w14:paraId="715FC415">
            <w:pPr>
              <w:widowControl/>
              <w:spacing w:line="240" w:lineRule="auto"/>
              <w:jc w:val="left"/>
              <w:rPr>
                <w:rFonts w:hint="default" w:ascii="Times New Roman" w:hAnsi="Times New Roman" w:eastAsia="宋体" w:cs="Times New Roman"/>
                <w:kern w:val="0"/>
                <w:sz w:val="20"/>
                <w:szCs w:val="20"/>
                <w:highlight w:val="none"/>
                <w:lang w:val="en-US" w:eastAsia="zh-CN"/>
              </w:rPr>
            </w:pPr>
          </w:p>
        </w:tc>
      </w:tr>
      <w:tr w14:paraId="201F81CE">
        <w:tblPrEx>
          <w:tblCellMar>
            <w:top w:w="0" w:type="dxa"/>
            <w:left w:w="108" w:type="dxa"/>
            <w:bottom w:w="0" w:type="dxa"/>
            <w:right w:w="108" w:type="dxa"/>
          </w:tblCellMar>
        </w:tblPrEx>
        <w:trPr>
          <w:trHeight w:val="15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4B75A1B8">
            <w:pPr>
              <w:spacing w:line="240" w:lineRule="auto"/>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27758110">
            <w:pPr>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2093FCA2">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是否设立投资者联系电话、传真和电子邮箱等，由专人负责。</w:t>
            </w:r>
          </w:p>
        </w:tc>
        <w:tc>
          <w:tcPr>
            <w:tcW w:w="6214" w:type="dxa"/>
            <w:tcBorders>
              <w:top w:val="single" w:color="auto" w:sz="4" w:space="0"/>
              <w:left w:val="single" w:color="auto" w:sz="4" w:space="0"/>
              <w:bottom w:val="single" w:color="auto" w:sz="4" w:space="0"/>
              <w:right w:val="single" w:color="auto" w:sz="4" w:space="0"/>
            </w:tcBorders>
            <w:vAlign w:val="center"/>
          </w:tcPr>
          <w:p w14:paraId="2948E1B2">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是/否。（如填“是”，请列明联系人、电话、传真、电子邮箱）</w:t>
            </w:r>
          </w:p>
        </w:tc>
        <w:tc>
          <w:tcPr>
            <w:tcW w:w="2932" w:type="dxa"/>
            <w:tcBorders>
              <w:top w:val="single" w:color="auto" w:sz="4" w:space="0"/>
              <w:left w:val="single" w:color="auto" w:sz="4" w:space="0"/>
              <w:bottom w:val="single" w:color="auto" w:sz="4" w:space="0"/>
              <w:right w:val="single" w:color="auto" w:sz="4" w:space="0"/>
            </w:tcBorders>
            <w:vAlign w:val="center"/>
          </w:tcPr>
          <w:p w14:paraId="772183A9">
            <w:pPr>
              <w:widowControl/>
              <w:spacing w:line="240" w:lineRule="auto"/>
              <w:jc w:val="left"/>
              <w:rPr>
                <w:rFonts w:hint="default" w:ascii="Times New Roman" w:hAnsi="Times New Roman" w:eastAsia="宋体" w:cs="Times New Roman"/>
                <w:kern w:val="0"/>
                <w:sz w:val="20"/>
                <w:szCs w:val="20"/>
              </w:rPr>
            </w:pPr>
          </w:p>
        </w:tc>
      </w:tr>
      <w:tr w14:paraId="2A4844D2">
        <w:tblPrEx>
          <w:tblCellMar>
            <w:top w:w="0" w:type="dxa"/>
            <w:left w:w="108" w:type="dxa"/>
            <w:bottom w:w="0" w:type="dxa"/>
            <w:right w:w="108" w:type="dxa"/>
          </w:tblCellMar>
        </w:tblPrEx>
        <w:trPr>
          <w:trHeight w:val="15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9D8BB85">
            <w:pPr>
              <w:spacing w:line="240" w:lineRule="auto"/>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3F70BFCA">
            <w:pPr>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7550AC5">
            <w:pPr>
              <w:widowControl/>
              <w:spacing w:line="240" w:lineRule="auto"/>
              <w:jc w:val="left"/>
              <w:rPr>
                <w:rFonts w:hint="default" w:ascii="Times New Roman" w:hAnsi="Times New Roman" w:eastAsia="宋体" w:cs="Times New Roman"/>
                <w:b w:val="0"/>
                <w:bCs w:val="0"/>
                <w:color w:val="auto"/>
                <w:kern w:val="0"/>
                <w:sz w:val="20"/>
                <w:szCs w:val="20"/>
                <w:highlight w:val="none"/>
              </w:rPr>
            </w:pPr>
            <w:r>
              <w:rPr>
                <w:rFonts w:hint="default" w:ascii="Times New Roman" w:hAnsi="Times New Roman" w:eastAsia="宋体" w:cs="Times New Roman"/>
                <w:b w:val="0"/>
                <w:bCs w:val="0"/>
                <w:color w:val="auto"/>
                <w:kern w:val="0"/>
                <w:sz w:val="20"/>
                <w:szCs w:val="20"/>
                <w:highlight w:val="none"/>
              </w:rPr>
              <w:t>是否及时妥善处理投资者咨询、投诉和建议等诉求，定期反馈给公司董事会及管理层。</w:t>
            </w:r>
          </w:p>
        </w:tc>
        <w:tc>
          <w:tcPr>
            <w:tcW w:w="6214" w:type="dxa"/>
            <w:tcBorders>
              <w:top w:val="single" w:color="auto" w:sz="4" w:space="0"/>
              <w:left w:val="single" w:color="auto" w:sz="4" w:space="0"/>
              <w:bottom w:val="single" w:color="auto" w:sz="4" w:space="0"/>
              <w:right w:val="single" w:color="auto" w:sz="4" w:space="0"/>
            </w:tcBorders>
            <w:vAlign w:val="center"/>
          </w:tcPr>
          <w:p w14:paraId="2A243CB6">
            <w:pPr>
              <w:widowControl/>
              <w:spacing w:line="240" w:lineRule="auto"/>
              <w:jc w:val="left"/>
              <w:rPr>
                <w:rFonts w:hint="default" w:ascii="Times New Roman" w:hAnsi="Times New Roman" w:eastAsia="宋体" w:cs="Times New Roman"/>
                <w:b w:val="0"/>
                <w:bCs w:val="0"/>
                <w:color w:val="auto"/>
                <w:kern w:val="0"/>
                <w:sz w:val="20"/>
                <w:szCs w:val="20"/>
                <w:highlight w:val="none"/>
              </w:rPr>
            </w:pPr>
            <w:r>
              <w:rPr>
                <w:rFonts w:hint="default" w:ascii="Times New Roman" w:hAnsi="Times New Roman" w:eastAsia="宋体" w:cs="Times New Roman"/>
                <w:b w:val="0"/>
                <w:bCs w:val="0"/>
                <w:color w:val="auto"/>
                <w:kern w:val="0"/>
                <w:sz w:val="20"/>
                <w:szCs w:val="20"/>
                <w:highlight w:val="none"/>
              </w:rPr>
              <w:t>是/否。（如填“是”，请列明</w:t>
            </w:r>
            <w:r>
              <w:rPr>
                <w:rFonts w:hint="eastAsia" w:ascii="Times New Roman" w:hAnsi="Times New Roman" w:eastAsia="宋体" w:cs="Times New Roman"/>
                <w:b w:val="0"/>
                <w:bCs w:val="0"/>
                <w:color w:val="auto"/>
                <w:kern w:val="0"/>
                <w:sz w:val="20"/>
                <w:szCs w:val="20"/>
                <w:highlight w:val="none"/>
                <w:lang w:val="en-US" w:eastAsia="zh-CN"/>
              </w:rPr>
              <w:t>评价期内</w:t>
            </w:r>
            <w:r>
              <w:rPr>
                <w:rFonts w:hint="default" w:ascii="Times New Roman" w:hAnsi="Times New Roman" w:eastAsia="宋体" w:cs="Times New Roman"/>
                <w:b w:val="0"/>
                <w:bCs w:val="0"/>
                <w:color w:val="auto"/>
                <w:kern w:val="0"/>
                <w:sz w:val="20"/>
                <w:szCs w:val="20"/>
                <w:highlight w:val="none"/>
              </w:rPr>
              <w:t>反馈次数）</w:t>
            </w:r>
          </w:p>
        </w:tc>
        <w:tc>
          <w:tcPr>
            <w:tcW w:w="2932" w:type="dxa"/>
            <w:tcBorders>
              <w:top w:val="single" w:color="auto" w:sz="4" w:space="0"/>
              <w:left w:val="single" w:color="auto" w:sz="4" w:space="0"/>
              <w:bottom w:val="single" w:color="auto" w:sz="4" w:space="0"/>
              <w:right w:val="single" w:color="auto" w:sz="4" w:space="0"/>
            </w:tcBorders>
            <w:vAlign w:val="center"/>
          </w:tcPr>
          <w:p w14:paraId="70860077">
            <w:pPr>
              <w:widowControl/>
              <w:spacing w:line="240" w:lineRule="auto"/>
              <w:jc w:val="left"/>
              <w:rPr>
                <w:rFonts w:hint="default" w:ascii="Times New Roman" w:hAnsi="Times New Roman" w:eastAsia="宋体" w:cs="Times New Roman"/>
                <w:b w:val="0"/>
                <w:bCs w:val="0"/>
                <w:color w:val="auto"/>
                <w:kern w:val="0"/>
                <w:sz w:val="20"/>
                <w:szCs w:val="20"/>
                <w:highlight w:val="none"/>
              </w:rPr>
            </w:pPr>
          </w:p>
        </w:tc>
      </w:tr>
      <w:tr w14:paraId="305AEC05">
        <w:tblPrEx>
          <w:tblCellMar>
            <w:top w:w="0" w:type="dxa"/>
            <w:left w:w="108" w:type="dxa"/>
            <w:bottom w:w="0" w:type="dxa"/>
            <w:right w:w="108" w:type="dxa"/>
          </w:tblCellMar>
        </w:tblPrEx>
        <w:trPr>
          <w:trHeight w:val="15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BB38F98">
            <w:pPr>
              <w:spacing w:line="240" w:lineRule="auto"/>
              <w:rPr>
                <w:rFonts w:hint="default" w:ascii="Times New Roman" w:hAnsi="Times New Roman" w:eastAsia="宋体" w:cs="Times New Roman"/>
                <w:kern w:val="0"/>
                <w:sz w:val="20"/>
                <w:szCs w:val="20"/>
              </w:rPr>
            </w:pPr>
          </w:p>
        </w:tc>
        <w:tc>
          <w:tcPr>
            <w:tcW w:w="1536" w:type="dxa"/>
            <w:vMerge w:val="continue"/>
            <w:tcBorders>
              <w:left w:val="single" w:color="auto" w:sz="4" w:space="0"/>
              <w:right w:val="single" w:color="auto" w:sz="4" w:space="0"/>
            </w:tcBorders>
            <w:vAlign w:val="center"/>
          </w:tcPr>
          <w:p w14:paraId="4FE8CEDC">
            <w:pPr>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4ABAE885">
            <w:pPr>
              <w:widowControl/>
              <w:spacing w:line="240" w:lineRule="auto"/>
              <w:jc w:val="left"/>
              <w:rPr>
                <w:rFonts w:hint="default" w:ascii="Times New Roman" w:hAnsi="Times New Roman" w:eastAsia="宋体" w:cs="Times New Roman"/>
                <w:b w:val="0"/>
                <w:bCs w:val="0"/>
                <w:color w:val="auto"/>
                <w:kern w:val="0"/>
                <w:sz w:val="20"/>
                <w:szCs w:val="20"/>
              </w:rPr>
            </w:pPr>
            <w:r>
              <w:rPr>
                <w:rFonts w:hint="default" w:ascii="Times New Roman" w:hAnsi="Times New Roman" w:eastAsia="宋体" w:cs="Times New Roman"/>
                <w:b w:val="0"/>
                <w:bCs w:val="0"/>
                <w:color w:val="auto"/>
                <w:kern w:val="0"/>
                <w:sz w:val="20"/>
                <w:szCs w:val="20"/>
              </w:rPr>
              <w:t>是否关注</w:t>
            </w:r>
            <w:r>
              <w:rPr>
                <w:rFonts w:hint="default" w:ascii="Times New Roman" w:hAnsi="Times New Roman" w:eastAsia="宋体" w:cs="Times New Roman"/>
                <w:b w:val="0"/>
                <w:bCs w:val="0"/>
                <w:color w:val="auto"/>
                <w:kern w:val="0"/>
                <w:sz w:val="20"/>
                <w:szCs w:val="20"/>
                <w:lang w:val="en-US" w:eastAsia="zh-CN"/>
              </w:rPr>
              <w:t>公司舆情</w:t>
            </w:r>
            <w:r>
              <w:rPr>
                <w:rFonts w:hint="default" w:ascii="Times New Roman" w:hAnsi="Times New Roman" w:eastAsia="宋体" w:cs="Times New Roman"/>
                <w:b w:val="0"/>
                <w:bCs w:val="0"/>
                <w:color w:val="auto"/>
                <w:kern w:val="0"/>
                <w:sz w:val="20"/>
                <w:szCs w:val="20"/>
              </w:rPr>
              <w:t>，主动向公司及相关信息披露义务人求证，督促董事会及时披露或澄清。</w:t>
            </w:r>
          </w:p>
        </w:tc>
        <w:tc>
          <w:tcPr>
            <w:tcW w:w="6214" w:type="dxa"/>
            <w:tcBorders>
              <w:top w:val="single" w:color="auto" w:sz="4" w:space="0"/>
              <w:left w:val="single" w:color="auto" w:sz="4" w:space="0"/>
              <w:bottom w:val="single" w:color="auto" w:sz="4" w:space="0"/>
              <w:right w:val="single" w:color="auto" w:sz="4" w:space="0"/>
            </w:tcBorders>
            <w:vAlign w:val="center"/>
          </w:tcPr>
          <w:p w14:paraId="062CCB79">
            <w:pPr>
              <w:widowControl/>
              <w:spacing w:line="240" w:lineRule="auto"/>
              <w:jc w:val="left"/>
              <w:rPr>
                <w:rFonts w:hint="default" w:ascii="Times New Roman" w:hAnsi="Times New Roman" w:eastAsia="宋体" w:cs="Times New Roman"/>
                <w:b w:val="0"/>
                <w:bCs w:val="0"/>
                <w:color w:val="auto"/>
                <w:kern w:val="0"/>
                <w:sz w:val="20"/>
                <w:szCs w:val="20"/>
                <w:highlight w:val="none"/>
              </w:rPr>
            </w:pPr>
            <w:r>
              <w:rPr>
                <w:rFonts w:hint="default" w:ascii="Times New Roman" w:hAnsi="Times New Roman" w:eastAsia="宋体" w:cs="Times New Roman"/>
                <w:b w:val="0"/>
                <w:bCs w:val="0"/>
                <w:color w:val="auto"/>
                <w:kern w:val="0"/>
                <w:sz w:val="20"/>
                <w:szCs w:val="20"/>
                <w:highlight w:val="none"/>
              </w:rPr>
              <w:t>是/否。（如填“是”，请简要说明具体情况）</w:t>
            </w:r>
          </w:p>
        </w:tc>
        <w:tc>
          <w:tcPr>
            <w:tcW w:w="2932" w:type="dxa"/>
            <w:tcBorders>
              <w:top w:val="single" w:color="auto" w:sz="4" w:space="0"/>
              <w:left w:val="single" w:color="auto" w:sz="4" w:space="0"/>
              <w:bottom w:val="single" w:color="auto" w:sz="4" w:space="0"/>
              <w:right w:val="single" w:color="auto" w:sz="4" w:space="0"/>
            </w:tcBorders>
            <w:vAlign w:val="center"/>
          </w:tcPr>
          <w:p w14:paraId="75F3562F">
            <w:pPr>
              <w:widowControl/>
              <w:spacing w:line="240" w:lineRule="auto"/>
              <w:jc w:val="left"/>
              <w:rPr>
                <w:rFonts w:hint="default" w:ascii="Times New Roman" w:hAnsi="Times New Roman" w:eastAsia="宋体" w:cs="Times New Roman"/>
                <w:b w:val="0"/>
                <w:bCs w:val="0"/>
                <w:color w:val="auto"/>
                <w:kern w:val="0"/>
                <w:sz w:val="20"/>
                <w:szCs w:val="20"/>
                <w:highlight w:val="none"/>
              </w:rPr>
            </w:pPr>
          </w:p>
        </w:tc>
      </w:tr>
      <w:tr w14:paraId="42DB4AB7">
        <w:tblPrEx>
          <w:tblCellMar>
            <w:top w:w="0" w:type="dxa"/>
            <w:left w:w="108" w:type="dxa"/>
            <w:bottom w:w="0" w:type="dxa"/>
            <w:right w:w="108" w:type="dxa"/>
          </w:tblCellMar>
        </w:tblPrEx>
        <w:trPr>
          <w:trHeight w:val="150"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74CE6DB8">
            <w:pPr>
              <w:spacing w:line="240" w:lineRule="auto"/>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bottom w:val="single" w:color="auto" w:sz="4" w:space="0"/>
              <w:right w:val="single" w:color="auto" w:sz="4" w:space="0"/>
            </w:tcBorders>
            <w:vAlign w:val="center"/>
          </w:tcPr>
          <w:p w14:paraId="77DE672E">
            <w:pPr>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219778F2">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公司投资者关系管理相关工作获得证券监管部门或其他国家机关、全国性自律组织表彰情况。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7F4D9DCC">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42E1A7E9">
            <w:pPr>
              <w:widowControl/>
              <w:spacing w:line="240" w:lineRule="auto"/>
              <w:jc w:val="left"/>
              <w:rPr>
                <w:rFonts w:hint="default" w:ascii="Times New Roman" w:hAnsi="Times New Roman" w:eastAsia="宋体" w:cs="Times New Roman"/>
                <w:kern w:val="0"/>
                <w:sz w:val="20"/>
                <w:szCs w:val="20"/>
                <w:highlight w:val="none"/>
                <w:lang w:val="en-US" w:eastAsia="zh-CN" w:bidi="ar-SA"/>
              </w:rPr>
            </w:pPr>
          </w:p>
        </w:tc>
      </w:tr>
      <w:tr w14:paraId="6C2A13C3">
        <w:tblPrEx>
          <w:tblCellMar>
            <w:top w:w="0" w:type="dxa"/>
            <w:left w:w="108" w:type="dxa"/>
            <w:bottom w:w="0" w:type="dxa"/>
            <w:right w:w="108" w:type="dxa"/>
          </w:tblCellMar>
        </w:tblPrEx>
        <w:trPr>
          <w:trHeight w:val="41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6D03180C">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restart"/>
            <w:tcBorders>
              <w:top w:val="single" w:color="auto" w:sz="4" w:space="0"/>
              <w:left w:val="single" w:color="auto" w:sz="4" w:space="0"/>
              <w:bottom w:val="single" w:color="auto" w:sz="4" w:space="0"/>
              <w:right w:val="single" w:color="auto" w:sz="4" w:space="0"/>
            </w:tcBorders>
            <w:vAlign w:val="center"/>
          </w:tcPr>
          <w:p w14:paraId="19D4E5EA">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社会责任</w:t>
            </w:r>
          </w:p>
          <w:p w14:paraId="69F57E0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0FF8AF72">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是否主动披露环境、社会责任和公司治理（ESG）等方面的履行情况。</w:t>
            </w:r>
          </w:p>
        </w:tc>
        <w:tc>
          <w:tcPr>
            <w:tcW w:w="6214" w:type="dxa"/>
            <w:tcBorders>
              <w:top w:val="single" w:color="auto" w:sz="4" w:space="0"/>
              <w:left w:val="single" w:color="auto" w:sz="4" w:space="0"/>
              <w:bottom w:val="single" w:color="auto" w:sz="4" w:space="0"/>
              <w:right w:val="single" w:color="auto" w:sz="4" w:space="0"/>
            </w:tcBorders>
            <w:vAlign w:val="center"/>
          </w:tcPr>
          <w:p w14:paraId="798344E3">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涉及ESG事项披露的公告）</w:t>
            </w:r>
          </w:p>
        </w:tc>
        <w:tc>
          <w:tcPr>
            <w:tcW w:w="2932" w:type="dxa"/>
            <w:tcBorders>
              <w:top w:val="single" w:color="auto" w:sz="4" w:space="0"/>
              <w:left w:val="single" w:color="auto" w:sz="4" w:space="0"/>
              <w:bottom w:val="single" w:color="auto" w:sz="4" w:space="0"/>
              <w:right w:val="single" w:color="auto" w:sz="4" w:space="0"/>
            </w:tcBorders>
            <w:vAlign w:val="center"/>
          </w:tcPr>
          <w:p w14:paraId="438BE4A0">
            <w:pPr>
              <w:widowControl/>
              <w:spacing w:line="240" w:lineRule="auto"/>
              <w:jc w:val="left"/>
              <w:rPr>
                <w:rFonts w:hint="default" w:ascii="Times New Roman" w:hAnsi="Times New Roman" w:eastAsia="宋体" w:cs="Times New Roman"/>
                <w:kern w:val="0"/>
                <w:sz w:val="20"/>
                <w:szCs w:val="20"/>
                <w:highlight w:val="none"/>
              </w:rPr>
            </w:pPr>
          </w:p>
        </w:tc>
      </w:tr>
      <w:tr w14:paraId="4830B333">
        <w:tblPrEx>
          <w:tblCellMar>
            <w:top w:w="0" w:type="dxa"/>
            <w:left w:w="108" w:type="dxa"/>
            <w:bottom w:w="0" w:type="dxa"/>
            <w:right w:w="108" w:type="dxa"/>
          </w:tblCellMar>
        </w:tblPrEx>
        <w:trPr>
          <w:trHeight w:val="418"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7127CA1">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4C70667B">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2884BA81">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是否主动披露公司积极参与符合国家重大战略方针等事项的信息，如乡村振兴、扶贫攻坚等。</w:t>
            </w:r>
          </w:p>
        </w:tc>
        <w:tc>
          <w:tcPr>
            <w:tcW w:w="6214" w:type="dxa"/>
            <w:tcBorders>
              <w:top w:val="single" w:color="auto" w:sz="4" w:space="0"/>
              <w:left w:val="single" w:color="auto" w:sz="4" w:space="0"/>
              <w:bottom w:val="single" w:color="auto" w:sz="4" w:space="0"/>
              <w:right w:val="single" w:color="auto" w:sz="4" w:space="0"/>
            </w:tcBorders>
            <w:vAlign w:val="center"/>
          </w:tcPr>
          <w:p w14:paraId="3BF20194">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是/否。（如填“是”，请列明有关事项披露的公告）</w:t>
            </w:r>
          </w:p>
        </w:tc>
        <w:tc>
          <w:tcPr>
            <w:tcW w:w="2932" w:type="dxa"/>
            <w:tcBorders>
              <w:top w:val="single" w:color="auto" w:sz="4" w:space="0"/>
              <w:left w:val="single" w:color="auto" w:sz="4" w:space="0"/>
              <w:bottom w:val="single" w:color="auto" w:sz="4" w:space="0"/>
              <w:right w:val="single" w:color="auto" w:sz="4" w:space="0"/>
            </w:tcBorders>
            <w:vAlign w:val="center"/>
          </w:tcPr>
          <w:p w14:paraId="00B1C638">
            <w:pPr>
              <w:widowControl/>
              <w:spacing w:line="240" w:lineRule="auto"/>
              <w:jc w:val="left"/>
              <w:rPr>
                <w:rFonts w:hint="default" w:ascii="Times New Roman" w:hAnsi="Times New Roman" w:eastAsia="宋体" w:cs="Times New Roman"/>
                <w:kern w:val="0"/>
                <w:sz w:val="20"/>
                <w:szCs w:val="20"/>
                <w:highlight w:val="none"/>
              </w:rPr>
            </w:pPr>
          </w:p>
        </w:tc>
      </w:tr>
      <w:tr w14:paraId="7CB017BD">
        <w:tblPrEx>
          <w:tblCellMar>
            <w:top w:w="0" w:type="dxa"/>
            <w:left w:w="108" w:type="dxa"/>
            <w:bottom w:w="0" w:type="dxa"/>
            <w:right w:w="108" w:type="dxa"/>
          </w:tblCellMar>
        </w:tblPrEx>
        <w:trPr>
          <w:trHeight w:val="445"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46110B56">
            <w:pPr>
              <w:widowControl/>
              <w:spacing w:line="240" w:lineRule="auto"/>
              <w:jc w:val="left"/>
              <w:rPr>
                <w:rFonts w:hint="default" w:ascii="Times New Roman" w:hAnsi="Times New Roman" w:eastAsia="宋体" w:cs="Times New Roman"/>
                <w:kern w:val="0"/>
                <w:sz w:val="20"/>
                <w:szCs w:val="20"/>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035CD9F5">
            <w:pPr>
              <w:widowControl/>
              <w:spacing w:line="240" w:lineRule="auto"/>
              <w:jc w:val="left"/>
              <w:rPr>
                <w:rFonts w:hint="default" w:ascii="Times New Roman" w:hAnsi="Times New Roman" w:eastAsia="宋体" w:cs="Times New Roman"/>
                <w:kern w:val="0"/>
                <w:sz w:val="20"/>
                <w:szCs w:val="20"/>
              </w:rPr>
            </w:pPr>
          </w:p>
        </w:tc>
        <w:tc>
          <w:tcPr>
            <w:tcW w:w="2935" w:type="dxa"/>
            <w:tcBorders>
              <w:top w:val="single" w:color="auto" w:sz="4" w:space="0"/>
              <w:left w:val="single" w:color="auto" w:sz="4" w:space="0"/>
              <w:bottom w:val="single" w:color="auto" w:sz="4" w:space="0"/>
              <w:right w:val="single" w:color="auto" w:sz="4" w:space="0"/>
            </w:tcBorders>
            <w:vAlign w:val="center"/>
          </w:tcPr>
          <w:p w14:paraId="66F6A04D">
            <w:pPr>
              <w:widowControl/>
              <w:spacing w:line="240" w:lineRule="auto"/>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是否成立ESG工作机构部门，并配备具有相关专业背景的工作人员。</w:t>
            </w:r>
          </w:p>
        </w:tc>
        <w:tc>
          <w:tcPr>
            <w:tcW w:w="6214" w:type="dxa"/>
            <w:tcBorders>
              <w:top w:val="single" w:color="auto" w:sz="4" w:space="0"/>
              <w:left w:val="single" w:color="auto" w:sz="4" w:space="0"/>
              <w:bottom w:val="single" w:color="auto" w:sz="4" w:space="0"/>
              <w:right w:val="single" w:color="auto" w:sz="4" w:space="0"/>
            </w:tcBorders>
            <w:vAlign w:val="center"/>
          </w:tcPr>
          <w:p w14:paraId="67298697">
            <w:pPr>
              <w:widowControl/>
              <w:spacing w:line="240" w:lineRule="auto"/>
              <w:jc w:val="left"/>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是/否。（如填“是”，请列明相关委员会或部门的名称</w:t>
            </w:r>
            <w:r>
              <w:rPr>
                <w:rFonts w:hint="default" w:ascii="Times New Roman" w:hAnsi="Times New Roman" w:eastAsia="宋体" w:cs="Times New Roman"/>
                <w:kern w:val="0"/>
                <w:sz w:val="20"/>
                <w:szCs w:val="20"/>
                <w:lang w:eastAsia="zh-CN"/>
              </w:rPr>
              <w:t>，</w:t>
            </w:r>
            <w:r>
              <w:rPr>
                <w:rFonts w:hint="default" w:ascii="Times New Roman" w:hAnsi="Times New Roman" w:eastAsia="宋体" w:cs="Times New Roman"/>
                <w:kern w:val="0"/>
                <w:sz w:val="20"/>
                <w:szCs w:val="20"/>
                <w:lang w:val="en-US" w:eastAsia="zh-CN"/>
              </w:rPr>
              <w:t>并</w:t>
            </w:r>
            <w:r>
              <w:rPr>
                <w:rFonts w:hint="default" w:ascii="Times New Roman" w:hAnsi="Times New Roman" w:eastAsia="宋体" w:cs="Times New Roman"/>
                <w:kern w:val="0"/>
                <w:sz w:val="20"/>
                <w:szCs w:val="20"/>
              </w:rPr>
              <w:t>列明相关专业人员的姓名、学历和学位、知识背景、公司职务和具体职责）</w:t>
            </w:r>
          </w:p>
        </w:tc>
        <w:tc>
          <w:tcPr>
            <w:tcW w:w="2932" w:type="dxa"/>
            <w:tcBorders>
              <w:top w:val="single" w:color="auto" w:sz="4" w:space="0"/>
              <w:left w:val="single" w:color="auto" w:sz="4" w:space="0"/>
              <w:bottom w:val="single" w:color="auto" w:sz="4" w:space="0"/>
              <w:right w:val="single" w:color="auto" w:sz="4" w:space="0"/>
            </w:tcBorders>
            <w:vAlign w:val="center"/>
          </w:tcPr>
          <w:p w14:paraId="011E330B">
            <w:pPr>
              <w:widowControl/>
              <w:spacing w:line="240" w:lineRule="auto"/>
              <w:jc w:val="left"/>
              <w:rPr>
                <w:rFonts w:hint="default" w:ascii="Times New Roman" w:hAnsi="Times New Roman" w:eastAsia="宋体" w:cs="Times New Roman"/>
                <w:kern w:val="0"/>
                <w:sz w:val="20"/>
                <w:szCs w:val="20"/>
              </w:rPr>
            </w:pPr>
          </w:p>
        </w:tc>
      </w:tr>
      <w:tr w14:paraId="200CA1CE">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42AEB7DE">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6A4C1AB3">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76D5C560">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公司ESG相关工作获得证券监管部门或其他国家机关、全国性自律组织</w:t>
            </w:r>
            <w:r>
              <w:rPr>
                <w:rFonts w:hint="eastAsia" w:ascii="Times New Roman" w:hAnsi="Times New Roman" w:eastAsia="宋体" w:cs="Times New Roman"/>
                <w:kern w:val="0"/>
                <w:sz w:val="20"/>
                <w:szCs w:val="20"/>
                <w:highlight w:val="none"/>
                <w:lang w:eastAsia="zh-CN"/>
              </w:rPr>
              <w:t>、</w:t>
            </w:r>
            <w:r>
              <w:rPr>
                <w:rFonts w:hint="eastAsia" w:ascii="Times New Roman" w:hAnsi="Times New Roman" w:eastAsia="宋体" w:cs="Times New Roman"/>
                <w:kern w:val="0"/>
                <w:sz w:val="20"/>
                <w:szCs w:val="20"/>
                <w:highlight w:val="none"/>
                <w:lang w:val="en-US" w:eastAsia="zh-CN"/>
              </w:rPr>
              <w:t>其他权威机构</w:t>
            </w:r>
            <w:r>
              <w:rPr>
                <w:rFonts w:hint="default" w:ascii="Times New Roman" w:hAnsi="Times New Roman" w:eastAsia="宋体" w:cs="Times New Roman"/>
                <w:kern w:val="0"/>
                <w:sz w:val="20"/>
                <w:szCs w:val="20"/>
                <w:highlight w:val="none"/>
              </w:rPr>
              <w:t>表彰情况。</w:t>
            </w:r>
          </w:p>
        </w:tc>
        <w:tc>
          <w:tcPr>
            <w:tcW w:w="6214" w:type="dxa"/>
            <w:tcBorders>
              <w:top w:val="single" w:color="auto" w:sz="4" w:space="0"/>
              <w:left w:val="single" w:color="auto" w:sz="4" w:space="0"/>
              <w:bottom w:val="single" w:color="auto" w:sz="4" w:space="0"/>
              <w:right w:val="single" w:color="auto" w:sz="4" w:space="0"/>
            </w:tcBorders>
            <w:vAlign w:val="center"/>
          </w:tcPr>
          <w:p w14:paraId="5498AA86">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获奖X次、评奖机构和具体奖项内容）</w:t>
            </w:r>
          </w:p>
        </w:tc>
        <w:tc>
          <w:tcPr>
            <w:tcW w:w="2932" w:type="dxa"/>
            <w:tcBorders>
              <w:top w:val="single" w:color="auto" w:sz="4" w:space="0"/>
              <w:left w:val="single" w:color="auto" w:sz="4" w:space="0"/>
              <w:bottom w:val="single" w:color="auto" w:sz="4" w:space="0"/>
              <w:right w:val="single" w:color="auto" w:sz="4" w:space="0"/>
            </w:tcBorders>
            <w:vAlign w:val="center"/>
          </w:tcPr>
          <w:p w14:paraId="62F951D8">
            <w:pPr>
              <w:widowControl/>
              <w:spacing w:line="240" w:lineRule="auto"/>
              <w:jc w:val="left"/>
              <w:rPr>
                <w:rFonts w:hint="default" w:ascii="Times New Roman" w:hAnsi="Times New Roman" w:eastAsia="宋体" w:cs="Times New Roman"/>
                <w:kern w:val="0"/>
                <w:sz w:val="20"/>
                <w:szCs w:val="20"/>
                <w:highlight w:val="none"/>
              </w:rPr>
            </w:pPr>
          </w:p>
        </w:tc>
      </w:tr>
      <w:tr w14:paraId="55D6D57E">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5DECC2DF">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restart"/>
            <w:tcBorders>
              <w:top w:val="single" w:color="auto" w:sz="4" w:space="0"/>
              <w:left w:val="single" w:color="auto" w:sz="4" w:space="0"/>
              <w:bottom w:val="single" w:color="auto" w:sz="4" w:space="0"/>
              <w:right w:val="single" w:color="auto" w:sz="4" w:space="0"/>
            </w:tcBorders>
            <w:vAlign w:val="center"/>
          </w:tcPr>
          <w:p w14:paraId="09D40F97">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制度的制定和修订</w:t>
            </w:r>
          </w:p>
        </w:tc>
        <w:tc>
          <w:tcPr>
            <w:tcW w:w="2935" w:type="dxa"/>
            <w:tcBorders>
              <w:top w:val="single" w:color="auto" w:sz="4" w:space="0"/>
              <w:left w:val="single" w:color="auto" w:sz="4" w:space="0"/>
              <w:bottom w:val="single" w:color="auto" w:sz="4" w:space="0"/>
              <w:right w:val="single" w:color="auto" w:sz="4" w:space="0"/>
            </w:tcBorders>
            <w:vAlign w:val="center"/>
          </w:tcPr>
          <w:p w14:paraId="3C6D6BB1">
            <w:pPr>
              <w:widowControl/>
              <w:spacing w:line="240" w:lineRule="auto"/>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制度修订的周期。</w:t>
            </w:r>
          </w:p>
        </w:tc>
        <w:tc>
          <w:tcPr>
            <w:tcW w:w="6214" w:type="dxa"/>
            <w:tcBorders>
              <w:top w:val="single" w:color="auto" w:sz="4" w:space="0"/>
              <w:left w:val="single" w:color="auto" w:sz="4" w:space="0"/>
              <w:bottom w:val="single" w:color="auto" w:sz="4" w:space="0"/>
              <w:right w:val="single" w:color="auto" w:sz="4" w:space="0"/>
            </w:tcBorders>
            <w:vAlign w:val="center"/>
          </w:tcPr>
          <w:p w14:paraId="5E814C2A">
            <w:pPr>
              <w:widowControl/>
              <w:spacing w:line="240" w:lineRule="auto"/>
              <w:jc w:val="left"/>
              <w:rPr>
                <w:rFonts w:hint="default" w:ascii="Times New Roman" w:hAnsi="Times New Roman" w:eastAsia="宋体" w:cs="Times New Roman"/>
                <w:kern w:val="0"/>
                <w:sz w:val="20"/>
                <w:szCs w:val="20"/>
                <w:highlight w:val="none"/>
                <w:lang w:val="en-US" w:eastAsia="zh-CN" w:bidi="ar-SA"/>
              </w:rPr>
            </w:pPr>
            <w:r>
              <w:rPr>
                <w:rFonts w:hint="default" w:ascii="Times New Roman" w:hAnsi="Times New Roman" w:eastAsia="宋体" w:cs="Times New Roman"/>
                <w:kern w:val="0"/>
                <w:sz w:val="20"/>
                <w:szCs w:val="20"/>
                <w:highlight w:val="none"/>
              </w:rPr>
              <w:t>固定周期（与内控自查情况一致，例如一年一次/半年一次）/无固定周期</w:t>
            </w:r>
          </w:p>
        </w:tc>
        <w:tc>
          <w:tcPr>
            <w:tcW w:w="2932" w:type="dxa"/>
            <w:tcBorders>
              <w:top w:val="single" w:color="auto" w:sz="4" w:space="0"/>
              <w:left w:val="single" w:color="auto" w:sz="4" w:space="0"/>
              <w:bottom w:val="single" w:color="auto" w:sz="4" w:space="0"/>
              <w:right w:val="single" w:color="auto" w:sz="4" w:space="0"/>
            </w:tcBorders>
            <w:vAlign w:val="center"/>
          </w:tcPr>
          <w:p w14:paraId="3EC430C8">
            <w:pPr>
              <w:widowControl/>
              <w:spacing w:line="240" w:lineRule="auto"/>
              <w:jc w:val="left"/>
              <w:rPr>
                <w:rFonts w:hint="default" w:ascii="Times New Roman" w:hAnsi="Times New Roman" w:eastAsia="宋体" w:cs="Times New Roman"/>
                <w:kern w:val="0"/>
                <w:sz w:val="20"/>
                <w:szCs w:val="20"/>
                <w:highlight w:val="none"/>
                <w:lang w:val="en-US" w:eastAsia="zh-CN" w:bidi="ar-SA"/>
              </w:rPr>
            </w:pPr>
          </w:p>
        </w:tc>
      </w:tr>
      <w:tr w14:paraId="7C1737F7">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2E823DD1">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688D4602">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5D037087">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经董事会</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rPr>
              <w:t>股东大会审议通过生效的制度数量。</w:t>
            </w:r>
          </w:p>
        </w:tc>
        <w:tc>
          <w:tcPr>
            <w:tcW w:w="6214" w:type="dxa"/>
            <w:tcBorders>
              <w:top w:val="single" w:color="auto" w:sz="4" w:space="0"/>
              <w:left w:val="single" w:color="auto" w:sz="4" w:space="0"/>
              <w:bottom w:val="single" w:color="auto" w:sz="4" w:space="0"/>
              <w:right w:val="single" w:color="auto" w:sz="4" w:space="0"/>
            </w:tcBorders>
            <w:vAlign w:val="center"/>
          </w:tcPr>
          <w:p w14:paraId="5DC3C711">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经董事会</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rPr>
              <w:t>股东大会审议通过生效的制度数量，同时请列明相关制度名称。</w:t>
            </w:r>
          </w:p>
        </w:tc>
        <w:tc>
          <w:tcPr>
            <w:tcW w:w="2932" w:type="dxa"/>
            <w:tcBorders>
              <w:top w:val="single" w:color="auto" w:sz="4" w:space="0"/>
              <w:left w:val="single" w:color="auto" w:sz="4" w:space="0"/>
              <w:bottom w:val="single" w:color="auto" w:sz="4" w:space="0"/>
              <w:right w:val="single" w:color="auto" w:sz="4" w:space="0"/>
            </w:tcBorders>
            <w:vAlign w:val="center"/>
          </w:tcPr>
          <w:p w14:paraId="3D879C62">
            <w:pPr>
              <w:widowControl/>
              <w:spacing w:line="240" w:lineRule="auto"/>
              <w:jc w:val="left"/>
              <w:rPr>
                <w:rFonts w:hint="default" w:ascii="Times New Roman" w:hAnsi="Times New Roman" w:eastAsia="宋体" w:cs="Times New Roman"/>
                <w:kern w:val="0"/>
                <w:sz w:val="20"/>
                <w:szCs w:val="20"/>
                <w:highlight w:val="none"/>
              </w:rPr>
            </w:pPr>
          </w:p>
        </w:tc>
      </w:tr>
      <w:tr w14:paraId="3692F475">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15C72D1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24AF3C73">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6DD35E64">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新规颁布后制度修订的间隔期。</w:t>
            </w:r>
          </w:p>
        </w:tc>
        <w:tc>
          <w:tcPr>
            <w:tcW w:w="6214" w:type="dxa"/>
            <w:tcBorders>
              <w:top w:val="single" w:color="auto" w:sz="4" w:space="0"/>
              <w:left w:val="single" w:color="auto" w:sz="4" w:space="0"/>
              <w:bottom w:val="single" w:color="auto" w:sz="4" w:space="0"/>
              <w:right w:val="single" w:color="auto" w:sz="4" w:space="0"/>
            </w:tcBorders>
            <w:vAlign w:val="center"/>
          </w:tcPr>
          <w:p w14:paraId="5E06331E">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涉及的从新规发布到公司相关会议正式通过制度修订议案的最短间隔期。</w:t>
            </w:r>
          </w:p>
        </w:tc>
        <w:tc>
          <w:tcPr>
            <w:tcW w:w="2932" w:type="dxa"/>
            <w:tcBorders>
              <w:top w:val="single" w:color="auto" w:sz="4" w:space="0"/>
              <w:left w:val="single" w:color="auto" w:sz="4" w:space="0"/>
              <w:bottom w:val="single" w:color="auto" w:sz="4" w:space="0"/>
              <w:right w:val="single" w:color="auto" w:sz="4" w:space="0"/>
            </w:tcBorders>
            <w:vAlign w:val="center"/>
          </w:tcPr>
          <w:p w14:paraId="26E24744">
            <w:pPr>
              <w:widowControl/>
              <w:spacing w:line="240" w:lineRule="auto"/>
              <w:jc w:val="left"/>
              <w:rPr>
                <w:rFonts w:hint="default" w:ascii="Times New Roman" w:hAnsi="Times New Roman" w:eastAsia="宋体" w:cs="Times New Roman"/>
                <w:kern w:val="0"/>
                <w:sz w:val="20"/>
                <w:szCs w:val="20"/>
                <w:highlight w:val="none"/>
              </w:rPr>
            </w:pPr>
          </w:p>
        </w:tc>
      </w:tr>
      <w:tr w14:paraId="1CFDF293">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4F6F446F">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29279FCD">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3E6D1388">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被监管要求进行整改的次数。</w:t>
            </w:r>
          </w:p>
        </w:tc>
        <w:tc>
          <w:tcPr>
            <w:tcW w:w="6214" w:type="dxa"/>
            <w:tcBorders>
              <w:top w:val="single" w:color="auto" w:sz="4" w:space="0"/>
              <w:left w:val="single" w:color="auto" w:sz="4" w:space="0"/>
              <w:bottom w:val="single" w:color="auto" w:sz="4" w:space="0"/>
              <w:right w:val="single" w:color="auto" w:sz="4" w:space="0"/>
            </w:tcBorders>
            <w:vAlign w:val="center"/>
          </w:tcPr>
          <w:p w14:paraId="6962A69C">
            <w:pPr>
              <w:widowControl/>
              <w:spacing w:line="240" w:lineRule="auto"/>
              <w:jc w:val="left"/>
              <w:rPr>
                <w:rFonts w:hint="default" w:ascii="Times New Roman" w:hAnsi="Times New Roman" w:eastAsia="宋体" w:cs="Times New Roman"/>
                <w:kern w:val="0"/>
                <w:sz w:val="20"/>
                <w:szCs w:val="20"/>
                <w:highlight w:val="none"/>
              </w:rPr>
            </w:pP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公司制度被监管要求进行整改的次数。</w:t>
            </w:r>
          </w:p>
        </w:tc>
        <w:tc>
          <w:tcPr>
            <w:tcW w:w="2932" w:type="dxa"/>
            <w:tcBorders>
              <w:top w:val="single" w:color="auto" w:sz="4" w:space="0"/>
              <w:left w:val="single" w:color="auto" w:sz="4" w:space="0"/>
              <w:bottom w:val="single" w:color="auto" w:sz="4" w:space="0"/>
              <w:right w:val="single" w:color="auto" w:sz="4" w:space="0"/>
            </w:tcBorders>
            <w:vAlign w:val="center"/>
          </w:tcPr>
          <w:p w14:paraId="0DE0FE6C">
            <w:pPr>
              <w:widowControl/>
              <w:spacing w:line="240" w:lineRule="auto"/>
              <w:jc w:val="left"/>
              <w:rPr>
                <w:rFonts w:hint="default" w:ascii="Times New Roman" w:hAnsi="Times New Roman" w:eastAsia="宋体" w:cs="Times New Roman"/>
                <w:kern w:val="0"/>
                <w:sz w:val="20"/>
                <w:szCs w:val="20"/>
                <w:highlight w:val="none"/>
              </w:rPr>
            </w:pPr>
          </w:p>
        </w:tc>
      </w:tr>
      <w:tr w14:paraId="763D523B">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08F9F3D3">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restart"/>
            <w:tcBorders>
              <w:top w:val="single" w:color="auto" w:sz="4" w:space="0"/>
              <w:left w:val="single" w:color="auto" w:sz="4" w:space="0"/>
              <w:bottom w:val="single" w:color="auto" w:sz="4" w:space="0"/>
              <w:right w:val="single" w:color="auto" w:sz="4" w:space="0"/>
            </w:tcBorders>
            <w:vAlign w:val="center"/>
          </w:tcPr>
          <w:p w14:paraId="14374EC2">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监督培训</w:t>
            </w:r>
          </w:p>
          <w:p w14:paraId="1C8B4D99">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1C00AE13">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督促董监高遵守法律法规、交易所相关规定和公司章程。</w:t>
            </w:r>
          </w:p>
        </w:tc>
        <w:tc>
          <w:tcPr>
            <w:tcW w:w="6214" w:type="dxa"/>
            <w:tcBorders>
              <w:top w:val="single" w:color="auto" w:sz="4" w:space="0"/>
              <w:left w:val="single" w:color="auto" w:sz="4" w:space="0"/>
              <w:bottom w:val="single" w:color="auto" w:sz="4" w:space="0"/>
              <w:right w:val="single" w:color="auto" w:sz="4" w:space="0"/>
            </w:tcBorders>
            <w:vAlign w:val="center"/>
          </w:tcPr>
          <w:p w14:paraId="6C41CFA7">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具体次数和督促形式）</w:t>
            </w:r>
          </w:p>
        </w:tc>
        <w:tc>
          <w:tcPr>
            <w:tcW w:w="2932" w:type="dxa"/>
            <w:tcBorders>
              <w:top w:val="single" w:color="auto" w:sz="4" w:space="0"/>
              <w:left w:val="single" w:color="auto" w:sz="4" w:space="0"/>
              <w:bottom w:val="single" w:color="auto" w:sz="4" w:space="0"/>
              <w:right w:val="single" w:color="auto" w:sz="4" w:space="0"/>
            </w:tcBorders>
            <w:vAlign w:val="center"/>
          </w:tcPr>
          <w:p w14:paraId="4E702CD7">
            <w:pPr>
              <w:widowControl/>
              <w:spacing w:line="240" w:lineRule="auto"/>
              <w:jc w:val="left"/>
              <w:rPr>
                <w:rFonts w:hint="default" w:ascii="Times New Roman" w:hAnsi="Times New Roman" w:eastAsia="宋体" w:cs="Times New Roman"/>
                <w:kern w:val="0"/>
                <w:sz w:val="20"/>
                <w:szCs w:val="20"/>
                <w:highlight w:val="none"/>
              </w:rPr>
            </w:pPr>
          </w:p>
        </w:tc>
      </w:tr>
      <w:tr w14:paraId="61673712">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57C4F8D0">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left w:val="single" w:color="auto" w:sz="4" w:space="0"/>
              <w:right w:val="single" w:color="auto" w:sz="4" w:space="0"/>
            </w:tcBorders>
            <w:vAlign w:val="center"/>
          </w:tcPr>
          <w:p w14:paraId="20C579BA">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1492443E">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组织公司控股股东、实际控制人就相关法律法规、交易所相关规定进行培训。</w:t>
            </w:r>
          </w:p>
        </w:tc>
        <w:tc>
          <w:tcPr>
            <w:tcW w:w="6214" w:type="dxa"/>
            <w:tcBorders>
              <w:top w:val="single" w:color="auto" w:sz="4" w:space="0"/>
              <w:left w:val="single" w:color="auto" w:sz="4" w:space="0"/>
              <w:bottom w:val="single" w:color="auto" w:sz="4" w:space="0"/>
              <w:right w:val="single" w:color="auto" w:sz="4" w:space="0"/>
            </w:tcBorders>
            <w:vAlign w:val="center"/>
          </w:tcPr>
          <w:p w14:paraId="56A4EF1C">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具体次数和相关培训主题）</w:t>
            </w:r>
          </w:p>
        </w:tc>
        <w:tc>
          <w:tcPr>
            <w:tcW w:w="2932" w:type="dxa"/>
            <w:tcBorders>
              <w:top w:val="single" w:color="auto" w:sz="4" w:space="0"/>
              <w:left w:val="single" w:color="auto" w:sz="4" w:space="0"/>
              <w:bottom w:val="single" w:color="auto" w:sz="4" w:space="0"/>
              <w:right w:val="single" w:color="auto" w:sz="4" w:space="0"/>
            </w:tcBorders>
            <w:vAlign w:val="center"/>
          </w:tcPr>
          <w:p w14:paraId="06DF6640">
            <w:pPr>
              <w:widowControl/>
              <w:spacing w:line="240" w:lineRule="auto"/>
              <w:jc w:val="left"/>
              <w:rPr>
                <w:rFonts w:hint="default" w:ascii="Times New Roman" w:hAnsi="Times New Roman" w:eastAsia="宋体" w:cs="Times New Roman"/>
                <w:kern w:val="0"/>
                <w:sz w:val="20"/>
                <w:szCs w:val="20"/>
                <w:highlight w:val="none"/>
              </w:rPr>
            </w:pPr>
          </w:p>
        </w:tc>
      </w:tr>
      <w:tr w14:paraId="4AD1791C">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46598E7E">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0AB7A0AF">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75226598">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组织公司董监高就相关法律法规、交易所相关规定进行培训。</w:t>
            </w:r>
          </w:p>
        </w:tc>
        <w:tc>
          <w:tcPr>
            <w:tcW w:w="6214" w:type="dxa"/>
            <w:tcBorders>
              <w:top w:val="single" w:color="auto" w:sz="4" w:space="0"/>
              <w:left w:val="single" w:color="auto" w:sz="4" w:space="0"/>
              <w:bottom w:val="single" w:color="auto" w:sz="4" w:space="0"/>
              <w:right w:val="single" w:color="auto" w:sz="4" w:space="0"/>
            </w:tcBorders>
            <w:vAlign w:val="center"/>
          </w:tcPr>
          <w:p w14:paraId="6BCD4A35">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具体次数和相关培训主题）</w:t>
            </w:r>
          </w:p>
        </w:tc>
        <w:tc>
          <w:tcPr>
            <w:tcW w:w="2932" w:type="dxa"/>
            <w:tcBorders>
              <w:top w:val="single" w:color="auto" w:sz="4" w:space="0"/>
              <w:left w:val="single" w:color="auto" w:sz="4" w:space="0"/>
              <w:bottom w:val="single" w:color="auto" w:sz="4" w:space="0"/>
              <w:right w:val="single" w:color="auto" w:sz="4" w:space="0"/>
            </w:tcBorders>
            <w:vAlign w:val="center"/>
          </w:tcPr>
          <w:p w14:paraId="3EBD64FC">
            <w:pPr>
              <w:widowControl/>
              <w:spacing w:line="240" w:lineRule="auto"/>
              <w:jc w:val="left"/>
              <w:rPr>
                <w:rFonts w:hint="default" w:ascii="Times New Roman" w:hAnsi="Times New Roman" w:eastAsia="宋体" w:cs="Times New Roman"/>
                <w:kern w:val="0"/>
                <w:sz w:val="20"/>
                <w:szCs w:val="20"/>
                <w:highlight w:val="none"/>
              </w:rPr>
            </w:pPr>
          </w:p>
        </w:tc>
      </w:tr>
      <w:tr w14:paraId="40E8D07B">
        <w:tblPrEx>
          <w:tblCellMar>
            <w:top w:w="0" w:type="dxa"/>
            <w:left w:w="108" w:type="dxa"/>
            <w:bottom w:w="0" w:type="dxa"/>
            <w:right w:w="108" w:type="dxa"/>
          </w:tblCellMar>
        </w:tblPrEx>
        <w:trPr>
          <w:trHeight w:val="544" w:hRule="atLeast"/>
          <w:jc w:val="center"/>
        </w:trPr>
        <w:tc>
          <w:tcPr>
            <w:tcW w:w="1229" w:type="dxa"/>
            <w:vMerge w:val="continue"/>
            <w:tcBorders>
              <w:top w:val="single" w:color="auto" w:sz="4" w:space="0"/>
              <w:left w:val="single" w:color="auto" w:sz="4" w:space="0"/>
              <w:bottom w:val="single" w:color="auto" w:sz="4" w:space="0"/>
              <w:right w:val="single" w:color="auto" w:sz="4" w:space="0"/>
            </w:tcBorders>
            <w:vAlign w:val="center"/>
          </w:tcPr>
          <w:p w14:paraId="3A50BCE2">
            <w:pPr>
              <w:widowControl/>
              <w:spacing w:line="240" w:lineRule="auto"/>
              <w:jc w:val="left"/>
              <w:rPr>
                <w:rFonts w:hint="default" w:ascii="Times New Roman" w:hAnsi="Times New Roman" w:eastAsia="宋体" w:cs="Times New Roman"/>
                <w:kern w:val="0"/>
                <w:sz w:val="20"/>
                <w:szCs w:val="20"/>
                <w:highlight w:val="none"/>
              </w:rPr>
            </w:pPr>
          </w:p>
        </w:tc>
        <w:tc>
          <w:tcPr>
            <w:tcW w:w="1536" w:type="dxa"/>
            <w:vMerge w:val="continue"/>
            <w:tcBorders>
              <w:top w:val="single" w:color="auto" w:sz="4" w:space="0"/>
              <w:left w:val="single" w:color="auto" w:sz="4" w:space="0"/>
              <w:bottom w:val="single" w:color="auto" w:sz="4" w:space="0"/>
              <w:right w:val="single" w:color="auto" w:sz="4" w:space="0"/>
            </w:tcBorders>
            <w:vAlign w:val="center"/>
          </w:tcPr>
          <w:p w14:paraId="5F94FBF2">
            <w:pPr>
              <w:widowControl/>
              <w:spacing w:line="240" w:lineRule="auto"/>
              <w:jc w:val="left"/>
              <w:rPr>
                <w:rFonts w:hint="default" w:ascii="Times New Roman" w:hAnsi="Times New Roman" w:eastAsia="宋体" w:cs="Times New Roman"/>
                <w:kern w:val="0"/>
                <w:sz w:val="20"/>
                <w:szCs w:val="20"/>
                <w:highlight w:val="none"/>
              </w:rPr>
            </w:pPr>
          </w:p>
        </w:tc>
        <w:tc>
          <w:tcPr>
            <w:tcW w:w="2935" w:type="dxa"/>
            <w:tcBorders>
              <w:top w:val="single" w:color="auto" w:sz="4" w:space="0"/>
              <w:left w:val="single" w:color="auto" w:sz="4" w:space="0"/>
              <w:bottom w:val="single" w:color="auto" w:sz="4" w:space="0"/>
              <w:right w:val="single" w:color="auto" w:sz="4" w:space="0"/>
            </w:tcBorders>
            <w:vAlign w:val="center"/>
          </w:tcPr>
          <w:p w14:paraId="4AA91DD8">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组织公司相关人员了解信息披露中的职责。</w:t>
            </w:r>
            <w:bookmarkStart w:id="1" w:name="_GoBack"/>
            <w:bookmarkEnd w:id="1"/>
          </w:p>
        </w:tc>
        <w:tc>
          <w:tcPr>
            <w:tcW w:w="6214" w:type="dxa"/>
            <w:tcBorders>
              <w:top w:val="single" w:color="auto" w:sz="4" w:space="0"/>
              <w:left w:val="single" w:color="auto" w:sz="4" w:space="0"/>
              <w:bottom w:val="single" w:color="auto" w:sz="4" w:space="0"/>
              <w:right w:val="single" w:color="auto" w:sz="4" w:space="0"/>
            </w:tcBorders>
            <w:vAlign w:val="center"/>
          </w:tcPr>
          <w:p w14:paraId="2B863A1E">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是/否。（如填“是”，请列明</w:t>
            </w:r>
            <w:r>
              <w:rPr>
                <w:rFonts w:hint="eastAsia" w:ascii="Times New Roman" w:hAnsi="Times New Roman" w:eastAsia="宋体" w:cs="Times New Roman"/>
                <w:kern w:val="0"/>
                <w:sz w:val="20"/>
                <w:szCs w:val="20"/>
                <w:highlight w:val="none"/>
                <w:lang w:val="en-US" w:eastAsia="zh-CN"/>
              </w:rPr>
              <w:t>评价期内</w:t>
            </w:r>
            <w:r>
              <w:rPr>
                <w:rFonts w:hint="default" w:ascii="Times New Roman" w:hAnsi="Times New Roman" w:eastAsia="宋体" w:cs="Times New Roman"/>
                <w:kern w:val="0"/>
                <w:sz w:val="20"/>
                <w:szCs w:val="20"/>
                <w:highlight w:val="none"/>
              </w:rPr>
              <w:t>具体次数和相关培训主题）</w:t>
            </w:r>
          </w:p>
        </w:tc>
        <w:tc>
          <w:tcPr>
            <w:tcW w:w="2932" w:type="dxa"/>
            <w:tcBorders>
              <w:top w:val="single" w:color="auto" w:sz="4" w:space="0"/>
              <w:left w:val="single" w:color="auto" w:sz="4" w:space="0"/>
              <w:bottom w:val="single" w:color="auto" w:sz="4" w:space="0"/>
              <w:right w:val="single" w:color="auto" w:sz="4" w:space="0"/>
            </w:tcBorders>
            <w:vAlign w:val="center"/>
          </w:tcPr>
          <w:p w14:paraId="0F5FFF79">
            <w:pPr>
              <w:widowControl/>
              <w:spacing w:line="240" w:lineRule="auto"/>
              <w:jc w:val="left"/>
              <w:rPr>
                <w:rFonts w:hint="default" w:ascii="Times New Roman" w:hAnsi="Times New Roman" w:eastAsia="宋体" w:cs="Times New Roman"/>
                <w:kern w:val="0"/>
                <w:sz w:val="20"/>
                <w:szCs w:val="20"/>
                <w:highlight w:val="none"/>
              </w:rPr>
            </w:pPr>
          </w:p>
        </w:tc>
      </w:tr>
      <w:tr w14:paraId="5FE225CB">
        <w:tblPrEx>
          <w:tblCellMar>
            <w:top w:w="0" w:type="dxa"/>
            <w:left w:w="108" w:type="dxa"/>
            <w:bottom w:w="0" w:type="dxa"/>
            <w:right w:w="108" w:type="dxa"/>
          </w:tblCellMar>
        </w:tblPrEx>
        <w:trPr>
          <w:trHeight w:val="362" w:hRule="atLeast"/>
          <w:jc w:val="center"/>
        </w:trPr>
        <w:tc>
          <w:tcPr>
            <w:tcW w:w="1229" w:type="dxa"/>
            <w:tcBorders>
              <w:top w:val="single" w:color="auto" w:sz="4" w:space="0"/>
              <w:left w:val="single" w:color="auto" w:sz="4" w:space="0"/>
              <w:bottom w:val="single" w:color="auto" w:sz="4" w:space="0"/>
              <w:right w:val="single" w:color="auto" w:sz="4" w:space="0"/>
            </w:tcBorders>
            <w:vAlign w:val="center"/>
          </w:tcPr>
          <w:p w14:paraId="179E9244">
            <w:pPr>
              <w:widowControl/>
              <w:spacing w:line="240" w:lineRule="auto"/>
              <w:jc w:val="left"/>
              <w:rPr>
                <w:rFonts w:hint="default" w:ascii="Times New Roman" w:hAnsi="Times New Roman" w:eastAsia="黑体" w:cs="Times New Roman"/>
                <w:kern w:val="0"/>
                <w:sz w:val="20"/>
                <w:szCs w:val="20"/>
                <w:highlight w:val="none"/>
              </w:rPr>
            </w:pPr>
            <w:r>
              <w:rPr>
                <w:rFonts w:hint="default" w:ascii="Times New Roman" w:hAnsi="Times New Roman" w:eastAsia="黑体" w:cs="Times New Roman"/>
                <w:kern w:val="0"/>
                <w:sz w:val="20"/>
                <w:szCs w:val="20"/>
                <w:highlight w:val="none"/>
              </w:rPr>
              <w:t>三、履职创新特色</w:t>
            </w:r>
          </w:p>
          <w:p w14:paraId="72FDCF57">
            <w:pPr>
              <w:widowControl/>
              <w:spacing w:line="240" w:lineRule="auto"/>
              <w:jc w:val="left"/>
              <w:rPr>
                <w:rFonts w:hint="default" w:ascii="Times New Roman" w:hAnsi="Times New Roman" w:eastAsia="宋体" w:cs="Times New Roman"/>
                <w:kern w:val="0"/>
                <w:sz w:val="20"/>
                <w:szCs w:val="20"/>
                <w:highlight w:val="none"/>
              </w:rPr>
            </w:pPr>
          </w:p>
        </w:tc>
        <w:tc>
          <w:tcPr>
            <w:tcW w:w="1536" w:type="dxa"/>
            <w:tcBorders>
              <w:top w:val="single" w:color="auto" w:sz="4" w:space="0"/>
              <w:left w:val="single" w:color="auto" w:sz="4" w:space="0"/>
              <w:bottom w:val="single" w:color="auto" w:sz="4" w:space="0"/>
              <w:right w:val="single" w:color="auto" w:sz="4" w:space="0"/>
            </w:tcBorders>
            <w:vAlign w:val="center"/>
          </w:tcPr>
          <w:p w14:paraId="120DB49D">
            <w:pPr>
              <w:widowControl/>
              <w:spacing w:line="240" w:lineRule="auto"/>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填写董事会秘书积极探索、创新工作方式方法的具体做法或举措等（</w:t>
            </w:r>
            <w:r>
              <w:rPr>
                <w:rFonts w:hint="default" w:ascii="Times New Roman" w:hAnsi="Times New Roman" w:eastAsia="宋体" w:cs="Times New Roman"/>
                <w:kern w:val="0"/>
                <w:sz w:val="20"/>
                <w:szCs w:val="20"/>
                <w:highlight w:val="none"/>
                <w:lang w:val="en-US" w:eastAsia="zh-CN"/>
              </w:rPr>
              <w:t>字数：</w:t>
            </w:r>
            <w:r>
              <w:rPr>
                <w:rFonts w:hint="default" w:ascii="Times New Roman" w:hAnsi="Times New Roman" w:eastAsia="宋体" w:cs="Times New Roman"/>
                <w:kern w:val="0"/>
                <w:sz w:val="20"/>
                <w:szCs w:val="20"/>
                <w:highlight w:val="none"/>
              </w:rPr>
              <w:t>不少于2500字</w:t>
            </w:r>
            <w:r>
              <w:rPr>
                <w:rFonts w:hint="default" w:ascii="Times New Roman" w:hAnsi="Times New Roman" w:eastAsia="宋体" w:cs="Times New Roman"/>
                <w:kern w:val="0"/>
                <w:sz w:val="20"/>
                <w:szCs w:val="20"/>
                <w:highlight w:val="none"/>
                <w:lang w:eastAsia="zh-CN"/>
              </w:rPr>
              <w:t>，</w:t>
            </w:r>
            <w:r>
              <w:rPr>
                <w:rFonts w:hint="default" w:ascii="Times New Roman" w:hAnsi="Times New Roman" w:eastAsia="宋体" w:cs="Times New Roman"/>
                <w:kern w:val="0"/>
                <w:sz w:val="20"/>
                <w:szCs w:val="20"/>
                <w:highlight w:val="none"/>
                <w:lang w:val="en-US" w:eastAsia="zh-CN"/>
              </w:rPr>
              <w:t>内容：以新做法、新举措可以解决的主要问题为出发点，充分体现董事会秘书的工作特点和推动作用，内容主要包括具体的解决方式、决策层次、时间进度安排、取得的成效、未来是否还有进一步的提升计划等方面</w:t>
            </w:r>
            <w:r>
              <w:rPr>
                <w:rFonts w:hint="default" w:ascii="Times New Roman" w:hAnsi="Times New Roman" w:eastAsia="宋体" w:cs="Times New Roman"/>
                <w:kern w:val="0"/>
                <w:sz w:val="20"/>
                <w:szCs w:val="20"/>
                <w:highlight w:val="none"/>
              </w:rPr>
              <w:t>）</w:t>
            </w:r>
          </w:p>
        </w:tc>
        <w:tc>
          <w:tcPr>
            <w:tcW w:w="9149" w:type="dxa"/>
            <w:gridSpan w:val="2"/>
            <w:tcBorders>
              <w:top w:val="single" w:color="auto" w:sz="4" w:space="0"/>
              <w:left w:val="single" w:color="auto" w:sz="4" w:space="0"/>
              <w:bottom w:val="single" w:color="auto" w:sz="4" w:space="0"/>
              <w:right w:val="single" w:color="auto" w:sz="4" w:space="0"/>
            </w:tcBorders>
            <w:vAlign w:val="center"/>
          </w:tcPr>
          <w:p w14:paraId="07B9FE0A">
            <w:pPr>
              <w:widowControl/>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0"/>
                <w:sz w:val="20"/>
                <w:szCs w:val="20"/>
                <w:highlight w:val="none"/>
              </w:rPr>
              <w:t>举例</w:t>
            </w:r>
            <w:r>
              <w:rPr>
                <w:rFonts w:hint="eastAsia" w:ascii="Times New Roman" w:hAnsi="Times New Roman" w:eastAsia="宋体" w:cs="Times New Roman"/>
                <w:kern w:val="0"/>
                <w:sz w:val="20"/>
                <w:szCs w:val="20"/>
                <w:highlight w:val="lightGray"/>
                <w:lang w:eastAsia="zh-CN"/>
              </w:rPr>
              <w:t>（</w:t>
            </w:r>
            <w:r>
              <w:rPr>
                <w:rFonts w:hint="eastAsia" w:ascii="Times New Roman" w:hAnsi="Times New Roman" w:eastAsia="宋体" w:cs="Times New Roman"/>
                <w:kern w:val="0"/>
                <w:sz w:val="20"/>
                <w:szCs w:val="20"/>
                <w:highlight w:val="lightGray"/>
                <w:lang w:val="en-US" w:eastAsia="zh-CN"/>
              </w:rPr>
              <w:t>仅描述涉及的履职创新点即可，无需逐条说明</w:t>
            </w:r>
            <w:r>
              <w:rPr>
                <w:rFonts w:hint="eastAsia" w:ascii="Times New Roman" w:hAnsi="Times New Roman" w:eastAsia="宋体" w:cs="Times New Roman"/>
                <w:kern w:val="0"/>
                <w:sz w:val="20"/>
                <w:szCs w:val="20"/>
                <w:highlight w:val="lightGray"/>
                <w:lang w:eastAsia="zh-CN"/>
              </w:rPr>
              <w:t>）</w:t>
            </w:r>
            <w:r>
              <w:rPr>
                <w:rFonts w:hint="default" w:ascii="Times New Roman" w:hAnsi="Times New Roman" w:eastAsia="宋体" w:cs="Times New Roman"/>
                <w:kern w:val="0"/>
                <w:sz w:val="20"/>
                <w:szCs w:val="20"/>
                <w:highlight w:val="none"/>
              </w:rPr>
              <w:t>：</w:t>
            </w:r>
          </w:p>
          <w:p w14:paraId="55A0891E">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通过资本运作助力公司发展（再融资、并购重组、股权激励、市值维护等）的具有借鉴意义或值得推广的有效做法；</w:t>
            </w:r>
          </w:p>
          <w:p w14:paraId="21084FF7">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积极通过现金分红、股份回购等多种途径，提高投资者回报水平</w:t>
            </w:r>
            <w:r>
              <w:rPr>
                <w:rFonts w:hint="eastAsia" w:ascii="Times New Roman" w:hAnsi="Times New Roman" w:eastAsia="宋体" w:cs="Times New Roman"/>
                <w:kern w:val="2"/>
                <w:sz w:val="21"/>
                <w:szCs w:val="22"/>
                <w:highlight w:val="none"/>
                <w:lang w:eastAsia="zh-CN"/>
              </w:rPr>
              <w:t>；</w:t>
            </w:r>
          </w:p>
          <w:p w14:paraId="5B98D4B9">
            <w:pPr>
              <w:widowControl/>
              <w:numPr>
                <w:ilvl w:val="0"/>
                <w:numId w:val="1"/>
              </w:numPr>
              <w:spacing w:line="240" w:lineRule="auto"/>
              <w:jc w:val="left"/>
              <w:rPr>
                <w:rFonts w:hint="default" w:ascii="Times New Roman" w:hAnsi="Times New Roman" w:eastAsia="宋体" w:cs="Times New Roman"/>
                <w:sz w:val="21"/>
                <w:szCs w:val="22"/>
                <w:highlight w:val="none"/>
                <w:lang w:eastAsia="zh-CN"/>
              </w:rPr>
            </w:pPr>
            <w:r>
              <w:rPr>
                <w:rFonts w:hint="default" w:ascii="Times New Roman" w:hAnsi="Times New Roman" w:eastAsia="宋体" w:cs="Times New Roman"/>
                <w:kern w:val="2"/>
                <w:sz w:val="21"/>
                <w:szCs w:val="22"/>
                <w:highlight w:val="none"/>
                <w:lang w:val="en-US" w:eastAsia="zh-CN"/>
              </w:rPr>
              <w:t>信息披露工作创新点（同时有证券在境外证券交易所上市的公司，境内外信息同步披露的保障机制。股东或合并报表范围内的公司在境内外证券交易所上市的，境内外、境内跨板块信息同步披露的保障机制）</w:t>
            </w:r>
            <w:r>
              <w:rPr>
                <w:rFonts w:hint="default" w:ascii="Times New Roman" w:hAnsi="Times New Roman" w:eastAsia="宋体" w:cs="Times New Roman"/>
                <w:sz w:val="21"/>
                <w:szCs w:val="22"/>
                <w:highlight w:val="none"/>
                <w:lang w:eastAsia="zh-CN"/>
              </w:rPr>
              <w:t>；</w:t>
            </w:r>
          </w:p>
          <w:p w14:paraId="74C22B62">
            <w:pPr>
              <w:widowControl/>
              <w:numPr>
                <w:ilvl w:val="0"/>
                <w:numId w:val="1"/>
              </w:numPr>
              <w:spacing w:line="240" w:lineRule="auto"/>
              <w:jc w:val="left"/>
              <w:rPr>
                <w:rFonts w:hint="default" w:ascii="Times New Roman" w:hAnsi="Times New Roman" w:eastAsia="宋体" w:cs="Times New Roman"/>
                <w:sz w:val="21"/>
                <w:szCs w:val="22"/>
                <w:highlight w:val="none"/>
                <w:lang w:val="en-US" w:eastAsia="zh-CN"/>
              </w:rPr>
            </w:pPr>
            <w:r>
              <w:rPr>
                <w:rFonts w:hint="default" w:ascii="Times New Roman" w:hAnsi="Times New Roman" w:eastAsia="宋体" w:cs="Times New Roman"/>
                <w:sz w:val="21"/>
                <w:szCs w:val="22"/>
                <w:highlight w:val="none"/>
                <w:lang w:val="en-US" w:eastAsia="zh-CN"/>
              </w:rPr>
              <w:t>董事会秘书服务保障董事会运作方面的具体举措和特色做法</w:t>
            </w:r>
            <w:r>
              <w:rPr>
                <w:rFonts w:hint="eastAsia" w:ascii="Times New Roman" w:hAnsi="Times New Roman" w:eastAsia="宋体" w:cs="Times New Roman"/>
                <w:sz w:val="21"/>
                <w:szCs w:val="22"/>
                <w:highlight w:val="none"/>
                <w:lang w:val="en-US" w:eastAsia="zh-CN"/>
              </w:rPr>
              <w:t>；</w:t>
            </w:r>
          </w:p>
          <w:p w14:paraId="6805BE00">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sz w:val="21"/>
                <w:szCs w:val="22"/>
                <w:highlight w:val="none"/>
                <w:lang w:val="en-US" w:eastAsia="zh-CN"/>
              </w:rPr>
              <w:t>公司</w:t>
            </w:r>
            <w:r>
              <w:rPr>
                <w:rFonts w:hint="default" w:ascii="Times New Roman" w:hAnsi="Times New Roman" w:eastAsia="宋体" w:cs="Times New Roman"/>
                <w:kern w:val="2"/>
                <w:sz w:val="21"/>
                <w:szCs w:val="22"/>
                <w:highlight w:val="none"/>
              </w:rPr>
              <w:t>信息披露被证券交易所评定为A级</w:t>
            </w:r>
            <w:r>
              <w:rPr>
                <w:rFonts w:hint="default" w:ascii="Times New Roman" w:hAnsi="Times New Roman" w:eastAsia="宋体" w:cs="Times New Roman"/>
                <w:kern w:val="2"/>
                <w:sz w:val="21"/>
                <w:szCs w:val="22"/>
                <w:highlight w:val="none"/>
                <w:lang w:eastAsia="zh-CN"/>
              </w:rPr>
              <w:t>（</w:t>
            </w:r>
            <w:r>
              <w:rPr>
                <w:rFonts w:hint="default" w:ascii="Times New Roman" w:hAnsi="Times New Roman" w:eastAsia="宋体" w:cs="Times New Roman"/>
                <w:kern w:val="2"/>
                <w:sz w:val="21"/>
                <w:szCs w:val="22"/>
                <w:highlight w:val="none"/>
                <w:lang w:val="en-US" w:eastAsia="zh-CN"/>
              </w:rPr>
              <w:t>或多年连续为A级</w:t>
            </w:r>
            <w:r>
              <w:rPr>
                <w:rFonts w:hint="default" w:ascii="Times New Roman" w:hAnsi="Times New Roman" w:eastAsia="宋体" w:cs="Times New Roman"/>
                <w:kern w:val="2"/>
                <w:sz w:val="21"/>
                <w:szCs w:val="22"/>
                <w:highlight w:val="none"/>
                <w:lang w:eastAsia="zh-CN"/>
              </w:rPr>
              <w:t>）</w:t>
            </w:r>
            <w:r>
              <w:rPr>
                <w:rFonts w:hint="default" w:ascii="Times New Roman" w:hAnsi="Times New Roman" w:eastAsia="宋体" w:cs="Times New Roman"/>
                <w:kern w:val="2"/>
                <w:sz w:val="21"/>
                <w:szCs w:val="22"/>
                <w:highlight w:val="none"/>
                <w:lang w:val="en-US" w:eastAsia="zh-CN"/>
              </w:rPr>
              <w:t>的相关经验；</w:t>
            </w:r>
          </w:p>
          <w:p w14:paraId="3F9AFE23">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公司从业绩、品牌、战略等角度主动发声，开展媒体宣传；</w:t>
            </w:r>
          </w:p>
          <w:p w14:paraId="66234A16">
            <w:pPr>
              <w:widowControl/>
              <w:numPr>
                <w:ilvl w:val="0"/>
                <w:numId w:val="1"/>
              </w:numPr>
              <w:spacing w:line="240" w:lineRule="auto"/>
              <w:jc w:val="left"/>
              <w:rPr>
                <w:rFonts w:hint="default" w:ascii="Times New Roman" w:hAnsi="Times New Roman" w:eastAsia="宋体" w:cs="Times New Roman"/>
                <w:kern w:val="2"/>
                <w:sz w:val="21"/>
                <w:szCs w:val="22"/>
                <w:highlight w:val="none"/>
                <w:lang w:val="en-US" w:eastAsia="zh-CN"/>
              </w:rPr>
            </w:pPr>
            <w:r>
              <w:rPr>
                <w:rFonts w:hint="default" w:ascii="Times New Roman" w:hAnsi="Times New Roman" w:eastAsia="宋体" w:cs="Times New Roman"/>
                <w:kern w:val="2"/>
                <w:sz w:val="21"/>
                <w:szCs w:val="22"/>
                <w:highlight w:val="none"/>
                <w:lang w:val="en-US" w:eastAsia="zh-CN"/>
              </w:rPr>
              <w:t>公司采取创新性的方式方法开展投关工作或者举行创新的投关活动等（结合投资者类型与诉求，多渠道、多平台、多方式针对性开展投资者关系管理工作）；</w:t>
            </w:r>
          </w:p>
          <w:p w14:paraId="7D09314C">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公司在促进并支持董事会秘书履职方面的具体举措或特色做法；</w:t>
            </w:r>
          </w:p>
          <w:p w14:paraId="36B5AF69">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eastAsia" w:ascii="Times New Roman" w:hAnsi="Times New Roman" w:eastAsia="宋体" w:cs="Times New Roman"/>
                <w:kern w:val="2"/>
                <w:sz w:val="21"/>
                <w:szCs w:val="22"/>
                <w:highlight w:val="none"/>
                <w:lang w:val="en-US" w:eastAsia="zh-CN"/>
              </w:rPr>
              <w:t>董事会秘书在促进大股东、董监高所持股份合规变动方面的创新做法；</w:t>
            </w:r>
          </w:p>
          <w:p w14:paraId="133BCCD6">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对证券市场发展规范提出意见和建议；积极参与证券监管部门、证券交易所相关规则的制定及修订工作，提出政策建议和意见；</w:t>
            </w:r>
          </w:p>
          <w:p w14:paraId="415294B8">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sz w:val="21"/>
                <w:szCs w:val="22"/>
                <w:highlight w:val="none"/>
              </w:rPr>
              <w:t>担任证券交易所上市委员会、纪律处分委员会委员</w:t>
            </w:r>
            <w:r>
              <w:rPr>
                <w:rFonts w:hint="default" w:ascii="Times New Roman" w:hAnsi="Times New Roman" w:eastAsia="宋体" w:cs="Times New Roman"/>
                <w:sz w:val="21"/>
                <w:szCs w:val="22"/>
                <w:highlight w:val="none"/>
                <w:lang w:eastAsia="zh-CN"/>
              </w:rPr>
              <w:t>，</w:t>
            </w:r>
            <w:r>
              <w:rPr>
                <w:rFonts w:hint="default" w:ascii="Times New Roman" w:hAnsi="Times New Roman" w:eastAsia="宋体" w:cs="Times New Roman"/>
                <w:sz w:val="21"/>
                <w:szCs w:val="22"/>
                <w:highlight w:val="none"/>
                <w:lang w:val="en-US" w:eastAsia="zh-CN"/>
              </w:rPr>
              <w:t>担任</w:t>
            </w:r>
            <w:r>
              <w:rPr>
                <w:rFonts w:hint="default" w:ascii="Times New Roman" w:hAnsi="Times New Roman" w:eastAsia="宋体" w:cs="Times New Roman"/>
                <w:sz w:val="21"/>
                <w:szCs w:val="22"/>
                <w:highlight w:val="none"/>
              </w:rPr>
              <w:t>中国上市公司协会</w:t>
            </w:r>
            <w:r>
              <w:rPr>
                <w:rFonts w:hint="default" w:ascii="Times New Roman" w:hAnsi="Times New Roman" w:eastAsia="宋体" w:cs="Times New Roman"/>
                <w:sz w:val="21"/>
                <w:szCs w:val="22"/>
                <w:highlight w:val="none"/>
                <w:lang w:val="en-US" w:eastAsia="zh-CN"/>
              </w:rPr>
              <w:t>相关</w:t>
            </w:r>
            <w:r>
              <w:rPr>
                <w:rFonts w:hint="default" w:ascii="Times New Roman" w:hAnsi="Times New Roman" w:eastAsia="宋体" w:cs="Times New Roman"/>
                <w:sz w:val="21"/>
                <w:szCs w:val="22"/>
                <w:highlight w:val="none"/>
              </w:rPr>
              <w:t>专业委员会委员</w:t>
            </w:r>
            <w:r>
              <w:rPr>
                <w:rFonts w:hint="default" w:ascii="Times New Roman" w:hAnsi="Times New Roman" w:eastAsia="宋体" w:cs="Times New Roman"/>
                <w:sz w:val="21"/>
                <w:szCs w:val="22"/>
                <w:highlight w:val="none"/>
                <w:lang w:eastAsia="zh-CN"/>
              </w:rPr>
              <w:t>，</w:t>
            </w:r>
            <w:r>
              <w:rPr>
                <w:rFonts w:hint="default" w:ascii="Times New Roman" w:hAnsi="Times New Roman" w:eastAsia="宋体" w:cs="Times New Roman"/>
                <w:sz w:val="21"/>
                <w:szCs w:val="22"/>
                <w:highlight w:val="none"/>
                <w:lang w:val="en-US" w:eastAsia="zh-CN"/>
              </w:rPr>
              <w:t>积极参与中上协各项工作</w:t>
            </w:r>
            <w:r>
              <w:rPr>
                <w:rFonts w:hint="default" w:ascii="Times New Roman" w:hAnsi="Times New Roman" w:eastAsia="宋体" w:cs="Times New Roman"/>
                <w:sz w:val="21"/>
                <w:szCs w:val="22"/>
                <w:highlight w:val="none"/>
              </w:rPr>
              <w:t>；受邀担任党政机关、证券交易所、科研院所等机构的培训讲师、授课嘉宾，向市场推广规范运作经验</w:t>
            </w:r>
            <w:r>
              <w:rPr>
                <w:rFonts w:hint="default" w:ascii="Times New Roman" w:hAnsi="Times New Roman" w:eastAsia="宋体" w:cs="Times New Roman"/>
                <w:kern w:val="2"/>
                <w:sz w:val="21"/>
                <w:szCs w:val="22"/>
                <w:highlight w:val="none"/>
              </w:rPr>
              <w:t>；</w:t>
            </w:r>
          </w:p>
          <w:p w14:paraId="140D1AA2">
            <w:pPr>
              <w:widowControl/>
              <w:numPr>
                <w:ilvl w:val="0"/>
                <w:numId w:val="1"/>
              </w:numPr>
              <w:spacing w:line="240" w:lineRule="auto"/>
              <w:jc w:val="left"/>
              <w:rPr>
                <w:rFonts w:hint="default" w:ascii="Times New Roman" w:hAnsi="Times New Roman" w:eastAsia="宋体" w:cs="Times New Roman"/>
                <w:kern w:val="2"/>
                <w:sz w:val="21"/>
                <w:szCs w:val="22"/>
                <w:highlight w:val="none"/>
              </w:rPr>
            </w:pPr>
            <w:r>
              <w:rPr>
                <w:rFonts w:hint="default" w:ascii="Times New Roman" w:hAnsi="Times New Roman" w:eastAsia="宋体" w:cs="Times New Roman"/>
                <w:kern w:val="2"/>
                <w:sz w:val="21"/>
                <w:szCs w:val="22"/>
                <w:highlight w:val="none"/>
              </w:rPr>
              <w:t>将资本市场及行业的外部信息及时反馈给上市公司，辅助公司业务规划和战略制定，提升公司价值；</w:t>
            </w:r>
          </w:p>
          <w:p w14:paraId="4003270C">
            <w:pPr>
              <w:widowControl/>
              <w:numPr>
                <w:ilvl w:val="0"/>
                <w:numId w:val="1"/>
              </w:numPr>
              <w:spacing w:line="240" w:lineRule="auto"/>
              <w:jc w:val="left"/>
              <w:rPr>
                <w:rFonts w:hint="default" w:ascii="Times New Roman" w:hAnsi="Times New Roman" w:eastAsia="宋体" w:cs="Times New Roman"/>
                <w:kern w:val="0"/>
                <w:sz w:val="20"/>
                <w:szCs w:val="20"/>
                <w:highlight w:val="none"/>
              </w:rPr>
            </w:pPr>
            <w:r>
              <w:rPr>
                <w:rFonts w:hint="default" w:ascii="Times New Roman" w:hAnsi="Times New Roman" w:eastAsia="宋体" w:cs="Times New Roman"/>
                <w:kern w:val="2"/>
                <w:sz w:val="21"/>
                <w:szCs w:val="22"/>
                <w:highlight w:val="none"/>
              </w:rPr>
              <w:t>有利于提高董事会秘书履职水平的其他方式方法。</w:t>
            </w:r>
          </w:p>
        </w:tc>
        <w:tc>
          <w:tcPr>
            <w:tcW w:w="2932" w:type="dxa"/>
            <w:tcBorders>
              <w:top w:val="single" w:color="auto" w:sz="4" w:space="0"/>
              <w:left w:val="single" w:color="auto" w:sz="4" w:space="0"/>
              <w:bottom w:val="single" w:color="auto" w:sz="4" w:space="0"/>
              <w:right w:val="single" w:color="auto" w:sz="4" w:space="0"/>
            </w:tcBorders>
            <w:vAlign w:val="center"/>
          </w:tcPr>
          <w:p w14:paraId="50011463">
            <w:pPr>
              <w:widowControl/>
              <w:spacing w:line="240" w:lineRule="auto"/>
              <w:jc w:val="left"/>
              <w:rPr>
                <w:rFonts w:hint="default" w:ascii="Times New Roman" w:hAnsi="Times New Roman" w:eastAsia="宋体" w:cs="Times New Roman"/>
                <w:kern w:val="0"/>
                <w:sz w:val="20"/>
                <w:szCs w:val="20"/>
                <w:highlight w:val="none"/>
              </w:rPr>
            </w:pPr>
          </w:p>
        </w:tc>
      </w:tr>
    </w:tbl>
    <w:p w14:paraId="3F0C0BC9">
      <w:pPr>
        <w:spacing w:line="240" w:lineRule="auto"/>
        <w:rPr>
          <w:rFonts w:hint="eastAsia" w:ascii="Times New Roman" w:hAnsi="Times New Roman" w:eastAsia="仿宋" w:cs="Times New Roman"/>
          <w:sz w:val="30"/>
          <w:szCs w:val="30"/>
        </w:rPr>
      </w:pPr>
    </w:p>
    <w:p w14:paraId="698D688D">
      <w:pPr>
        <w:numPr>
          <w:ilvl w:val="0"/>
          <w:numId w:val="0"/>
        </w:numPr>
        <w:wordWrap/>
        <w:bidi w:val="0"/>
        <w:ind w:leftChars="0"/>
        <w:jc w:val="both"/>
        <w:rPr>
          <w:rFonts w:hint="default" w:ascii="Times New Roman" w:hAnsi="Times New Roman" w:cs="Times New Roman"/>
          <w:lang w:val="en-US" w:eastAsia="zh-CN"/>
        </w:rPr>
      </w:pPr>
    </w:p>
    <w:p w14:paraId="23DFBF91"/>
    <w:p w14:paraId="11D1657E"/>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DEE1B">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4097" name="文本框 1"/>
              <wp:cNvGraphicFramePr/>
              <a:graphic xmlns:a="http://schemas.openxmlformats.org/drawingml/2006/main">
                <a:graphicData uri="http://schemas.microsoft.com/office/word/2010/wordprocessingShape">
                  <wps:wsp>
                    <wps:cNvSpPr/>
                    <wps:spPr>
                      <a:xfrm>
                        <a:off x="0" y="0"/>
                        <a:ext cx="116205" cy="139700"/>
                      </a:xfrm>
                      <a:prstGeom prst="rect">
                        <a:avLst/>
                      </a:prstGeom>
                      <a:ln>
                        <a:noFill/>
                      </a:ln>
                    </wps:spPr>
                    <wps:txbx>
                      <w:txbxContent>
                        <w:p w14:paraId="6F7311C7">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xdDqf0QAAAAMBAAAPAAAAAAAAAAEAIAAAACIAAABkcnMvZG93bnJldi54&#10;bWxQSwECFAAUAAAACACHTuJA7pO2rMgBAACFAwAADgAAAAAAAAABACAAAAAgAQAAZHJzL2Uyb0Rv&#10;Yy54bWxQSwUGAAAAAAYABgBZAQAAWgUAAAAA&#10;">
              <v:fill on="f" focussize="0,0"/>
              <v:stroke on="f"/>
              <v:imagedata o:title=""/>
              <o:lock v:ext="edit" aspectratio="f"/>
              <v:textbox inset="0mm,0mm,0mm,0mm" style="mso-fit-shape-to-text:t;">
                <w:txbxContent>
                  <w:p w14:paraId="6F7311C7">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rect>
          </w:pict>
        </mc:Fallback>
      </mc:AlternateContent>
    </w:r>
  </w:p>
  <w:p w14:paraId="6EEAE91D">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C93DD">
    <w:pPr>
      <w:widowControl w:val="0"/>
      <w:pBdr>
        <w:bottom w:val="none" w:color="auto" w:sz="0" w:space="1"/>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78948"/>
    <w:multiLevelType w:val="singleLevel"/>
    <w:tmpl w:val="8EB7894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5Mzc5YzAwYjMxZTU5NWQ5YjA4M2FlY2M1Yzk3MDUifQ=="/>
  </w:docVars>
  <w:rsids>
    <w:rsidRoot w:val="00000000"/>
    <w:rsid w:val="020A0434"/>
    <w:rsid w:val="12421A01"/>
    <w:rsid w:val="1F787D50"/>
    <w:rsid w:val="3A07439B"/>
    <w:rsid w:val="4E143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仿宋" w:asciiTheme="minorAscii" w:hAnsiTheme="minorAscii"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4719</Words>
  <Characters>4743</Characters>
  <Lines>0</Lines>
  <Paragraphs>0</Paragraphs>
  <TotalTime>2</TotalTime>
  <ScaleCrop>false</ScaleCrop>
  <LinksUpToDate>false</LinksUpToDate>
  <CharactersWithSpaces>4743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2024-07-19T02:15:00Z</dcterms:created>
  <dc:creator>Think</dc:creator>
  <cp:lastModifiedBy>校磊</cp:lastModifiedBy>
  <dcterms:modified xsi:type="dcterms:W3CDTF">2024-08-30T00:50:53Z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0017608A45724B258C8E6B882147A04A_12</vt:lpwstr>
  </property>
</Properties>
</file>